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</w:pPr>
    </w:p>
    <w:p>
      <w:pPr>
        <w:jc w:val="center"/>
      </w:pPr>
      <w:r>
        <w:rPr>
          <w:b/>
          <w:bCs/>
          <w:color w:val="152A4D"/>
          <w:sz w:val="56"/>
          <w:szCs w:val="56"/>
        </w:rPr>
        <w:t xml:space="preserve">NISM-Series-V-D</w:t>
      </w:r>
    </w:p>
    <w:p>
      <w:pPr>
        <w:spacing w:after="400" w:before="200"/>
        <w:jc w:val="center"/>
      </w:pPr>
      <w:r>
        <w:rPr>
          <w:color w:val="4B5768"/>
          <w:sz w:val="32"/>
          <w:szCs w:val="32"/>
        </w:rPr>
        <w:t xml:space="preserve">Mutual Fund – Specialized Investment Fund Distributors</w:t>
      </w:r>
    </w:p>
    <w:p>
      <w:pPr>
        <w:spacing w:after="600"/>
        <w:jc w:val="center"/>
      </w:pPr>
      <w:r>
        <w:rPr>
          <w:b/>
          <w:bCs/>
          <w:color w:val="0D7A6E"/>
          <w:sz w:val="40"/>
          <w:szCs w:val="40"/>
        </w:rPr>
        <w:t xml:space="preserve">Practice Worksheets</w:t>
      </w:r>
    </w:p>
    <w:p>
      <w:pPr>
        <w:spacing w:after="200"/>
        <w:jc w:val="center"/>
      </w:pPr>
      <w:r>
        <w:rPr>
          <w:color w:val="4B5768"/>
          <w:sz w:val="22"/>
          <w:szCs w:val="22"/>
        </w:rPr>
        <w:t xml:space="preserve">6 worksheets covering all 22 chapters across 3 modules · 56 practice questions with a full answer key</w:t>
      </w:r>
    </w:p>
    <w:p>
      <w:pPr>
        <w:spacing w:after="2000"/>
        <w:jc w:val="center"/>
      </w:pPr>
      <w:r>
        <w:rPr>
          <w:i/>
          <w:iCs/>
          <w:color w:val="7A8294"/>
          <w:sz w:val="18"/>
          <w:szCs w:val="18"/>
        </w:rPr>
        <w:t xml:space="preserve">Free, original study material from nismready.com — not an official NISM product.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1 — Investment Landscape, Fund Concept &amp; Legal/Regulatory Framework (Ch. 1–4, 19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This worksheet covers the foundational chapters: the investment landscape (asset classes, risk types, behavioural biases), what a mutual fund is and how schemes are categorised, the trust-based legal structure (Sponsor, Trustees, AMC, Custodian, RTA), and the regulatory framework (SEBI, Advertisement Code, mis-selling).</w:t>
      </w:r>
    </w:p>
    <w:p>
      <w:pPr>
        <w:spacing w:after="160"/>
      </w:pPr>
      <w:r>
        <w:rPr>
          <w:sz w:val="21"/>
          <w:szCs w:val="21"/>
        </w:rPr>
        <w:t xml:space="preserve">Risk profiling weighs need, ability, and willingness to take risk. SEBI's five scheme categories each carry hard percentage rules. At least two-thirds of Trustees must be independent. SEBI's Advertisement Code restricts celebrity endorsement to industry-level campaigns only.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Independent Trustees required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At least two-thirds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Large Cap Fund minimum equity in large-caps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Change-in-AMC-control exit window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At least 30 days, no exit load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AMFI's role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Industry body, not a regulator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Risk profiling assesses an investor's need, ability, and:</w:t>
      </w:r>
    </w:p>
    <w:p>
      <w:pPr>
        <w:spacing w:after="20"/>
        <w:ind w:left="360"/>
      </w:pPr>
      <w:r>
        <w:rPr>
          <w:sz w:val="20"/>
          <w:szCs w:val="20"/>
        </w:rPr>
        <w:t xml:space="preserve">A. Nationality</w:t>
      </w:r>
    </w:p>
    <w:p>
      <w:pPr>
        <w:spacing w:after="20"/>
        <w:ind w:left="360"/>
      </w:pPr>
      <w:r>
        <w:rPr>
          <w:sz w:val="20"/>
          <w:szCs w:val="20"/>
        </w:rPr>
        <w:t xml:space="preserve">B. Willingness to take risk</w:t>
      </w:r>
    </w:p>
    <w:p>
      <w:pPr>
        <w:spacing w:after="20"/>
        <w:ind w:left="360"/>
      </w:pPr>
      <w:r>
        <w:rPr>
          <w:sz w:val="20"/>
          <w:szCs w:val="20"/>
        </w:rPr>
        <w:t xml:space="preserve">C. Favourite AMC</w:t>
      </w:r>
    </w:p>
    <w:p>
      <w:pPr>
        <w:spacing w:after="20"/>
        <w:ind w:left="360"/>
      </w:pPr>
      <w:r>
        <w:rPr>
          <w:sz w:val="20"/>
          <w:szCs w:val="20"/>
        </w:rPr>
        <w:t xml:space="preserve">D. Bank branch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A mutual fund in India is legally structured as a:</w:t>
      </w:r>
    </w:p>
    <w:p>
      <w:pPr>
        <w:spacing w:after="20"/>
        <w:ind w:left="360"/>
      </w:pPr>
      <w:r>
        <w:rPr>
          <w:sz w:val="20"/>
          <w:szCs w:val="20"/>
        </w:rPr>
        <w:t xml:space="preserve">A. Company</w:t>
      </w:r>
    </w:p>
    <w:p>
      <w:pPr>
        <w:spacing w:after="20"/>
        <w:ind w:left="360"/>
      </w:pPr>
      <w:r>
        <w:rPr>
          <w:sz w:val="20"/>
          <w:szCs w:val="20"/>
        </w:rPr>
        <w:t xml:space="preserve">B. Trust</w:t>
      </w:r>
    </w:p>
    <w:p>
      <w:pPr>
        <w:spacing w:after="20"/>
        <w:ind w:left="360"/>
      </w:pPr>
      <w:r>
        <w:rPr>
          <w:sz w:val="20"/>
          <w:szCs w:val="20"/>
        </w:rPr>
        <w:t xml:space="preserve">C. Partnership</w:t>
      </w:r>
    </w:p>
    <w:p>
      <w:pPr>
        <w:spacing w:after="20"/>
        <w:ind w:left="360"/>
      </w:pPr>
      <w:r>
        <w:rPr>
          <w:sz w:val="20"/>
          <w:szCs w:val="20"/>
        </w:rPr>
        <w:t xml:space="preserve">D. Sole proprietorship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What fraction of the Board of Trustees must be independent?</w:t>
      </w:r>
    </w:p>
    <w:p>
      <w:pPr>
        <w:spacing w:after="20"/>
        <w:ind w:left="360"/>
      </w:pPr>
      <w:r>
        <w:rPr>
          <w:sz w:val="20"/>
          <w:szCs w:val="20"/>
        </w:rPr>
        <w:t xml:space="preserve">A. 50%</w:t>
      </w:r>
    </w:p>
    <w:p>
      <w:pPr>
        <w:spacing w:after="20"/>
        <w:ind w:left="360"/>
      </w:pPr>
      <w:r>
        <w:rPr>
          <w:sz w:val="20"/>
          <w:szCs w:val="20"/>
        </w:rPr>
        <w:t xml:space="preserve">B. One-third</w:t>
      </w:r>
    </w:p>
    <w:p>
      <w:pPr>
        <w:spacing w:after="20"/>
        <w:ind w:left="360"/>
      </w:pPr>
      <w:r>
        <w:rPr>
          <w:sz w:val="20"/>
          <w:szCs w:val="20"/>
        </w:rPr>
        <w:t xml:space="preserve">C. Two-thirds</w:t>
      </w:r>
    </w:p>
    <w:p>
      <w:pPr>
        <w:spacing w:after="20"/>
        <w:ind w:left="360"/>
      </w:pPr>
      <w:r>
        <w:rPr>
          <w:sz w:val="20"/>
          <w:szCs w:val="20"/>
        </w:rPr>
        <w:t xml:space="preserve">D. 100%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Which regulator has direct authority over mutual funds?</w:t>
      </w:r>
    </w:p>
    <w:p>
      <w:pPr>
        <w:spacing w:after="20"/>
        <w:ind w:left="360"/>
      </w:pPr>
      <w:r>
        <w:rPr>
          <w:sz w:val="20"/>
          <w:szCs w:val="20"/>
        </w:rPr>
        <w:t xml:space="preserve">A. RBI</w:t>
      </w:r>
    </w:p>
    <w:p>
      <w:pPr>
        <w:spacing w:after="20"/>
        <w:ind w:left="360"/>
      </w:pPr>
      <w:r>
        <w:rPr>
          <w:sz w:val="20"/>
          <w:szCs w:val="20"/>
        </w:rPr>
        <w:t xml:space="preserve">B. SEBI</w:t>
      </w:r>
    </w:p>
    <w:p>
      <w:pPr>
        <w:spacing w:after="20"/>
        <w:ind w:left="360"/>
      </w:pPr>
      <w:r>
        <w:rPr>
          <w:sz w:val="20"/>
          <w:szCs w:val="20"/>
        </w:rPr>
        <w:t xml:space="preserve">C. IRDAI</w:t>
      </w:r>
    </w:p>
    <w:p>
      <w:pPr>
        <w:spacing w:after="20"/>
        <w:ind w:left="360"/>
      </w:pPr>
      <w:r>
        <w:rPr>
          <w:sz w:val="20"/>
          <w:szCs w:val="20"/>
        </w:rPr>
        <w:t xml:space="preserve">D. PFRDA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Celebrity endorsement of mutual funds is permitted:</w:t>
      </w:r>
    </w:p>
    <w:p>
      <w:pPr>
        <w:spacing w:after="20"/>
        <w:ind w:left="360"/>
      </w:pPr>
      <w:r>
        <w:rPr>
          <w:sz w:val="20"/>
          <w:szCs w:val="20"/>
        </w:rPr>
        <w:t xml:space="preserve">A. For any individual scheme freely</w:t>
      </w:r>
    </w:p>
    <w:p>
      <w:pPr>
        <w:spacing w:after="20"/>
        <w:ind w:left="360"/>
      </w:pPr>
      <w:r>
        <w:rPr>
          <w:sz w:val="20"/>
          <w:szCs w:val="20"/>
        </w:rPr>
        <w:t xml:space="preserve">B. Only at the industry level for category awareness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for NFOs</w:t>
      </w:r>
    </w:p>
    <w:p>
      <w:pPr>
        <w:spacing w:after="20"/>
        <w:ind w:left="360"/>
      </w:pPr>
      <w:r>
        <w:rPr>
          <w:sz w:val="20"/>
          <w:szCs w:val="20"/>
        </w:rPr>
        <w:t xml:space="preserve">D. Never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Concealing material risks of a scheme from a client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Sound suitability practice</w:t>
      </w:r>
    </w:p>
    <w:p>
      <w:pPr>
        <w:spacing w:after="20"/>
        <w:ind w:left="360"/>
      </w:pPr>
      <w:r>
        <w:rPr>
          <w:sz w:val="20"/>
          <w:szCs w:val="20"/>
        </w:rPr>
        <w:t xml:space="preserve">B. Mis-selling</w:t>
      </w:r>
    </w:p>
    <w:p>
      <w:pPr>
        <w:spacing w:after="20"/>
        <w:ind w:left="360"/>
      </w:pPr>
      <w:r>
        <w:rPr>
          <w:sz w:val="20"/>
          <w:szCs w:val="20"/>
        </w:rPr>
        <w:t xml:space="preserve">C. Standard practice</w:t>
      </w:r>
    </w:p>
    <w:p>
      <w:pPr>
        <w:spacing w:after="20"/>
        <w:ind w:left="360"/>
      </w:pPr>
      <w:r>
        <w:rPr>
          <w:sz w:val="20"/>
          <w:szCs w:val="20"/>
        </w:rPr>
        <w:t xml:space="preserve">D. Enhanced protection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AMFI's role in the mutual fund structure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A regulator with enforcement power</w:t>
      </w:r>
    </w:p>
    <w:p>
      <w:pPr>
        <w:spacing w:after="20"/>
        <w:ind w:left="360"/>
      </w:pPr>
      <w:r>
        <w:rPr>
          <w:sz w:val="20"/>
          <w:szCs w:val="20"/>
        </w:rPr>
        <w:t xml:space="preserve">B. An industry association, not a regulator</w:t>
      </w:r>
    </w:p>
    <w:p>
      <w:pPr>
        <w:spacing w:after="20"/>
        <w:ind w:left="360"/>
      </w:pPr>
      <w:r>
        <w:rPr>
          <w:sz w:val="20"/>
          <w:szCs w:val="20"/>
        </w:rPr>
        <w:t xml:space="preserve">C. A government ministry</w:t>
      </w:r>
    </w:p>
    <w:p>
      <w:pPr>
        <w:spacing w:after="20"/>
        <w:ind w:left="360"/>
      </w:pPr>
      <w:r>
        <w:rPr>
          <w:sz w:val="20"/>
          <w:szCs w:val="20"/>
        </w:rPr>
        <w:t xml:space="preserve">D. A stock exchange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A change in AMC control requires an exit option at prevailing NAV for at least:</w:t>
      </w:r>
    </w:p>
    <w:p>
      <w:pPr>
        <w:spacing w:after="20"/>
        <w:ind w:left="360"/>
      </w:pPr>
      <w:r>
        <w:rPr>
          <w:sz w:val="20"/>
          <w:szCs w:val="20"/>
        </w:rPr>
        <w:t xml:space="preserve">A. 15 days</w:t>
      </w:r>
    </w:p>
    <w:p>
      <w:pPr>
        <w:spacing w:after="20"/>
        <w:ind w:left="360"/>
      </w:pPr>
      <w:r>
        <w:rPr>
          <w:sz w:val="20"/>
          <w:szCs w:val="20"/>
        </w:rPr>
        <w:t xml:space="preserve">B. 30 days</w:t>
      </w:r>
    </w:p>
    <w:p>
      <w:pPr>
        <w:spacing w:after="20"/>
        <w:ind w:left="360"/>
      </w:pPr>
      <w:r>
        <w:rPr>
          <w:sz w:val="20"/>
          <w:szCs w:val="20"/>
        </w:rPr>
        <w:t xml:space="preserve">C. 45 days</w:t>
      </w:r>
    </w:p>
    <w:p>
      <w:pPr>
        <w:spacing w:after="20"/>
        <w:ind w:left="360"/>
      </w:pPr>
      <w:r>
        <w:rPr>
          <w:sz w:val="20"/>
          <w:szCs w:val="20"/>
        </w:rPr>
        <w:t xml:space="preserve">D. 60 days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3-C   4-B   5-B   6-B   7-B   8-B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2 — Scheme Information, Distribution, NAV/TER &amp; Taxation (Ch. 5–8, 19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The SID covers scheme-specific details; the SAI covers fund-wide statutory information; the KIM (summarising both) must accompany every application. Distributors need an ARN (or operate under an institution's ARN via an EUIN) and are paid only through trail commission.</w:t>
      </w:r>
    </w:p>
    <w:p>
      <w:pPr>
        <w:spacing w:after="160"/>
      </w:pPr>
      <w:r>
        <w:rPr>
          <w:sz w:val="21"/>
          <w:szCs w:val="21"/>
        </w:rPr>
        <w:t xml:space="preserve">NAV = Net Assets ÷ Outstanding Units. Entry loads are banned; exit loads are credited back to the scheme. Equity LTCG is taxed at 12.5% (Rs. 1.25 lakh exempt); debt gains are taxed at the slab rate regardless of holding period.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NAV formula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Net Assets ÷ Outstanding Units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Entry load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Banned; sale price = NAV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Equity LTCG rate / exemption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12.5% / Rs. 1.25 lakh per year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Debt fund gains (STCG &amp; LTCG)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Taxed at the investor's slab rate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ELSS lock-in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3 years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The KIM must accompany:</w:t>
      </w:r>
    </w:p>
    <w:p>
      <w:pPr>
        <w:spacing w:after="20"/>
        <w:ind w:left="360"/>
      </w:pPr>
      <w:r>
        <w:rPr>
          <w:sz w:val="20"/>
          <w:szCs w:val="20"/>
        </w:rPr>
        <w:t xml:space="preserve">A. Only NFO applications</w:t>
      </w:r>
    </w:p>
    <w:p>
      <w:pPr>
        <w:spacing w:after="20"/>
        <w:ind w:left="360"/>
      </w:pPr>
      <w:r>
        <w:rPr>
          <w:sz w:val="20"/>
          <w:szCs w:val="20"/>
        </w:rPr>
        <w:t xml:space="preserve">B. Every application form, at all times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redemptions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institutional applications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An EUIN identifies:</w:t>
      </w:r>
    </w:p>
    <w:p>
      <w:pPr>
        <w:spacing w:after="20"/>
        <w:ind w:left="360"/>
      </w:pPr>
      <w:r>
        <w:rPr>
          <w:sz w:val="20"/>
          <w:szCs w:val="20"/>
        </w:rPr>
        <w:t xml:space="preserve">A. An individual distributor's own ARN</w:t>
      </w:r>
    </w:p>
    <w:p>
      <w:pPr>
        <w:spacing w:after="20"/>
        <w:ind w:left="360"/>
      </w:pPr>
      <w:r>
        <w:rPr>
          <w:sz w:val="20"/>
          <w:szCs w:val="20"/>
        </w:rPr>
        <w:t xml:space="preserve">B. An employee of an institutional distributor, under its ARN</w:t>
      </w:r>
    </w:p>
    <w:p>
      <w:pPr>
        <w:spacing w:after="20"/>
        <w:ind w:left="360"/>
      </w:pPr>
      <w:r>
        <w:rPr>
          <w:sz w:val="20"/>
          <w:szCs w:val="20"/>
        </w:rPr>
        <w:t xml:space="preserve">C. A SEBI registration</w:t>
      </w:r>
    </w:p>
    <w:p>
      <w:pPr>
        <w:spacing w:after="20"/>
        <w:ind w:left="360"/>
      </w:pPr>
      <w:r>
        <w:rPr>
          <w:sz w:val="20"/>
          <w:szCs w:val="20"/>
        </w:rPr>
        <w:t xml:space="preserve">D. A custodian's license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NAV is calculated as:</w:t>
      </w:r>
    </w:p>
    <w:p>
      <w:pPr>
        <w:spacing w:after="20"/>
        <w:ind w:left="360"/>
      </w:pPr>
      <w:r>
        <w:rPr>
          <w:sz w:val="20"/>
          <w:szCs w:val="20"/>
        </w:rPr>
        <w:t xml:space="preserve">A. Net Assets × Units</w:t>
      </w:r>
    </w:p>
    <w:p>
      <w:pPr>
        <w:spacing w:after="20"/>
        <w:ind w:left="360"/>
      </w:pPr>
      <w:r>
        <w:rPr>
          <w:sz w:val="20"/>
          <w:szCs w:val="20"/>
        </w:rPr>
        <w:t xml:space="preserve">B. Net Assets ÷ Units</w:t>
      </w:r>
    </w:p>
    <w:p>
      <w:pPr>
        <w:spacing w:after="20"/>
        <w:ind w:left="360"/>
      </w:pPr>
      <w:r>
        <w:rPr>
          <w:sz w:val="20"/>
          <w:szCs w:val="20"/>
        </w:rPr>
        <w:t xml:space="preserve">C. Unit Capital × Face Value</w:t>
      </w:r>
    </w:p>
    <w:p>
      <w:pPr>
        <w:spacing w:after="20"/>
        <w:ind w:left="360"/>
      </w:pPr>
      <w:r>
        <w:rPr>
          <w:sz w:val="20"/>
          <w:szCs w:val="20"/>
        </w:rPr>
        <w:t xml:space="preserve">D. TER ÷ AUM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Entry loads are currently:</w:t>
      </w:r>
    </w:p>
    <w:p>
      <w:pPr>
        <w:spacing w:after="20"/>
        <w:ind w:left="360"/>
      </w:pPr>
      <w:r>
        <w:rPr>
          <w:sz w:val="20"/>
          <w:szCs w:val="20"/>
        </w:rPr>
        <w:t xml:space="preserve">A. Permitted up to 1%</w:t>
      </w:r>
    </w:p>
    <w:p>
      <w:pPr>
        <w:spacing w:after="20"/>
        <w:ind w:left="360"/>
      </w:pPr>
      <w:r>
        <w:rPr>
          <w:sz w:val="20"/>
          <w:szCs w:val="20"/>
        </w:rPr>
        <w:t xml:space="preserve">B. Banned entirely</w:t>
      </w:r>
    </w:p>
    <w:p>
      <w:pPr>
        <w:spacing w:after="20"/>
        <w:ind w:left="360"/>
      </w:pPr>
      <w:r>
        <w:rPr>
          <w:sz w:val="20"/>
          <w:szCs w:val="20"/>
        </w:rPr>
        <w:t xml:space="preserve">C. Permitted for institutions only</w:t>
      </w:r>
    </w:p>
    <w:p>
      <w:pPr>
        <w:spacing w:after="20"/>
        <w:ind w:left="360"/>
      </w:pPr>
      <w:r>
        <w:rPr>
          <w:sz w:val="20"/>
          <w:szCs w:val="20"/>
        </w:rPr>
        <w:t xml:space="preserve">D. Charged on SIPs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Exit loads, when charged, are credited:</w:t>
      </w:r>
    </w:p>
    <w:p>
      <w:pPr>
        <w:spacing w:after="20"/>
        <w:ind w:left="360"/>
      </w:pPr>
      <w:r>
        <w:rPr>
          <w:sz w:val="20"/>
          <w:szCs w:val="20"/>
        </w:rPr>
        <w:t xml:space="preserve">A. To the AMC</w:t>
      </w:r>
    </w:p>
    <w:p>
      <w:pPr>
        <w:spacing w:after="20"/>
        <w:ind w:left="360"/>
      </w:pPr>
      <w:r>
        <w:rPr>
          <w:sz w:val="20"/>
          <w:szCs w:val="20"/>
        </w:rPr>
        <w:t xml:space="preserve">B. Back into the scheme</w:t>
      </w:r>
    </w:p>
    <w:p>
      <w:pPr>
        <w:spacing w:after="20"/>
        <w:ind w:left="360"/>
      </w:pPr>
      <w:r>
        <w:rPr>
          <w:sz w:val="20"/>
          <w:szCs w:val="20"/>
        </w:rPr>
        <w:t xml:space="preserve">C. To the distributor</w:t>
      </w:r>
    </w:p>
    <w:p>
      <w:pPr>
        <w:spacing w:after="20"/>
        <w:ind w:left="360"/>
      </w:pPr>
      <w:r>
        <w:rPr>
          <w:sz w:val="20"/>
          <w:szCs w:val="20"/>
        </w:rPr>
        <w:t xml:space="preserve">D. To SEBI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Equity-oriented fund LTCG is taxed at:</w:t>
      </w:r>
    </w:p>
    <w:p>
      <w:pPr>
        <w:spacing w:after="20"/>
        <w:ind w:left="360"/>
      </w:pPr>
      <w:r>
        <w:rPr>
          <w:sz w:val="20"/>
          <w:szCs w:val="20"/>
        </w:rPr>
        <w:t xml:space="preserve">A. 10%, no exemption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12.5%, Rs. 1.25 lakh exempt</w:t>
      </w:r>
    </w:p>
    <w:p>
      <w:pPr>
        <w:spacing w:after="20"/>
        <w:ind w:left="360"/>
      </w:pPr>
      <w:r>
        <w:rPr>
          <w:sz w:val="20"/>
          <w:szCs w:val="20"/>
        </w:rPr>
        <w:t xml:space="preserve">C. 20%, no exemption</w:t>
      </w:r>
    </w:p>
    <w:p>
      <w:pPr>
        <w:spacing w:after="20"/>
        <w:ind w:left="360"/>
      </w:pPr>
      <w:r>
        <w:rPr>
          <w:sz w:val="20"/>
          <w:szCs w:val="20"/>
        </w:rPr>
        <w:t xml:space="preserve">D. 15%, Rs. 2 lakh exempt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Debt fund STCG and LTCG are both taxed at:</w:t>
      </w:r>
    </w:p>
    <w:p>
      <w:pPr>
        <w:spacing w:after="20"/>
        <w:ind w:left="360"/>
      </w:pPr>
      <w:r>
        <w:rPr>
          <w:sz w:val="20"/>
          <w:szCs w:val="20"/>
        </w:rPr>
        <w:t xml:space="preserve">A. A flat 10%</w:t>
      </w:r>
    </w:p>
    <w:p>
      <w:pPr>
        <w:spacing w:after="20"/>
        <w:ind w:left="360"/>
      </w:pPr>
      <w:r>
        <w:rPr>
          <w:sz w:val="20"/>
          <w:szCs w:val="20"/>
        </w:rPr>
        <w:t xml:space="preserve">B. The investor's slab rate, regardless of holding period</w:t>
      </w:r>
    </w:p>
    <w:p>
      <w:pPr>
        <w:spacing w:after="20"/>
        <w:ind w:left="360"/>
      </w:pPr>
      <w:r>
        <w:rPr>
          <w:sz w:val="20"/>
          <w:szCs w:val="20"/>
        </w:rPr>
        <w:t xml:space="preserve">C. A flat 20%</w:t>
      </w:r>
    </w:p>
    <w:p>
      <w:pPr>
        <w:spacing w:after="20"/>
        <w:ind w:left="360"/>
      </w:pPr>
      <w:r>
        <w:rPr>
          <w:sz w:val="20"/>
          <w:szCs w:val="20"/>
        </w:rPr>
        <w:t xml:space="preserve">D. 0% always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The ELSS lock-in period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1 year</w:t>
      </w:r>
    </w:p>
    <w:p>
      <w:pPr>
        <w:spacing w:after="20"/>
        <w:ind w:left="360"/>
      </w:pPr>
      <w:r>
        <w:rPr>
          <w:sz w:val="20"/>
          <w:szCs w:val="20"/>
        </w:rPr>
        <w:t xml:space="preserve">B. 3 years</w:t>
      </w:r>
    </w:p>
    <w:p>
      <w:pPr>
        <w:spacing w:after="20"/>
        <w:ind w:left="360"/>
      </w:pPr>
      <w:r>
        <w:rPr>
          <w:sz w:val="20"/>
          <w:szCs w:val="20"/>
        </w:rPr>
        <w:t xml:space="preserve">C. 5 years</w:t>
      </w:r>
    </w:p>
    <w:p>
      <w:pPr>
        <w:spacing w:after="20"/>
        <w:ind w:left="360"/>
      </w:pPr>
      <w:r>
        <w:rPr>
          <w:sz w:val="20"/>
          <w:szCs w:val="20"/>
        </w:rPr>
        <w:t xml:space="preserve">D. 10 years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3-B   4-B   5-B   6-B   7-B   8-B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3 — Investor Services, Performance &amp; Scheme Selection (Ch. 9–12, 30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The heaviest block in Module 1. Investor services covers KYC, nomination (up to 10, or opt-out), transmission, systematic transactions, and grievance redress (21-day window). Sharpe and Treynor ratios combine return and risk; schemes benchmark to TRI (since 2018), not PRI.</w:t>
      </w:r>
    </w:p>
    <w:p>
      <w:pPr>
        <w:spacing w:after="160"/>
      </w:pPr>
      <w:r>
        <w:rPr>
          <w:sz w:val="21"/>
          <w:szCs w:val="21"/>
        </w:rPr>
        <w:t xml:space="preserve">Scheme selection means matching suitability to the client, never selecting purely on past performance — the core-and-satellite approach separates long-term holdings from tactical bets.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Max nominees per folio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Grievance redressal window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21 calendar days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TRI benchmarking since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February 2018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Sharpe Ratio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(Return − Risk-free) ÷ Standard Deviation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Recommended equity fund track record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At least 5 years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Maximum nominees allowed per folio:</w:t>
      </w:r>
    </w:p>
    <w:p>
      <w:pPr>
        <w:spacing w:after="20"/>
        <w:ind w:left="360"/>
      </w:pPr>
      <w:r>
        <w:rPr>
          <w:sz w:val="20"/>
          <w:szCs w:val="20"/>
        </w:rPr>
        <w:t xml:space="preserve">A. 3</w:t>
      </w:r>
    </w:p>
    <w:p>
      <w:pPr>
        <w:spacing w:after="20"/>
        <w:ind w:left="360"/>
      </w:pPr>
      <w:r>
        <w:rPr>
          <w:sz w:val="20"/>
          <w:szCs w:val="20"/>
        </w:rPr>
        <w:t xml:space="preserve">B. 5</w:t>
      </w:r>
    </w:p>
    <w:p>
      <w:pPr>
        <w:spacing w:after="20"/>
        <w:ind w:left="360"/>
      </w:pPr>
      <w:r>
        <w:rPr>
          <w:sz w:val="20"/>
          <w:szCs w:val="20"/>
        </w:rPr>
        <w:t xml:space="preserve">C. 8</w:t>
      </w:r>
    </w:p>
    <w:p>
      <w:pPr>
        <w:spacing w:after="20"/>
        <w:ind w:left="360"/>
      </w:pPr>
      <w:r>
        <w:rPr>
          <w:sz w:val="20"/>
          <w:szCs w:val="20"/>
        </w:rPr>
        <w:t xml:space="preserve">D. 10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Within how many days must an AMC redress a grievance?</w:t>
      </w:r>
    </w:p>
    <w:p>
      <w:pPr>
        <w:spacing w:after="20"/>
        <w:ind w:left="360"/>
      </w:pPr>
      <w:r>
        <w:rPr>
          <w:sz w:val="20"/>
          <w:szCs w:val="20"/>
        </w:rPr>
        <w:t xml:space="preserve">A. 7</w:t>
      </w:r>
    </w:p>
    <w:p>
      <w:pPr>
        <w:spacing w:after="20"/>
        <w:ind w:left="360"/>
      </w:pPr>
      <w:r>
        <w:rPr>
          <w:sz w:val="20"/>
          <w:szCs w:val="20"/>
        </w:rPr>
        <w:t xml:space="preserve">B. 15</w:t>
      </w:r>
    </w:p>
    <w:p>
      <w:pPr>
        <w:spacing w:after="20"/>
        <w:ind w:left="360"/>
      </w:pPr>
      <w:r>
        <w:rPr>
          <w:sz w:val="20"/>
          <w:szCs w:val="20"/>
        </w:rPr>
        <w:t xml:space="preserve">C. 21</w:t>
      </w:r>
    </w:p>
    <w:p>
      <w:pPr>
        <w:spacing w:after="20"/>
        <w:ind w:left="360"/>
      </w:pPr>
      <w:r>
        <w:rPr>
          <w:sz w:val="20"/>
          <w:szCs w:val="20"/>
        </w:rPr>
        <w:t xml:space="preserve">D. 30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Partial redemption is processed on which basis?</w:t>
      </w:r>
    </w:p>
    <w:p>
      <w:pPr>
        <w:spacing w:after="20"/>
        <w:ind w:left="360"/>
      </w:pPr>
      <w:r>
        <w:rPr>
          <w:sz w:val="20"/>
          <w:szCs w:val="20"/>
        </w:rPr>
        <w:t xml:space="preserve">A. LIFO</w:t>
      </w:r>
    </w:p>
    <w:p>
      <w:pPr>
        <w:spacing w:after="20"/>
        <w:ind w:left="360"/>
      </w:pPr>
      <w:r>
        <w:rPr>
          <w:sz w:val="20"/>
          <w:szCs w:val="20"/>
        </w:rPr>
        <w:t xml:space="preserve">B. FIFO</w:t>
      </w:r>
    </w:p>
    <w:p>
      <w:pPr>
        <w:spacing w:after="20"/>
        <w:ind w:left="360"/>
      </w:pPr>
      <w:r>
        <w:rPr>
          <w:sz w:val="20"/>
          <w:szCs w:val="20"/>
        </w:rPr>
        <w:t xml:space="preserve">C. Random</w:t>
      </w:r>
    </w:p>
    <w:p>
      <w:pPr>
        <w:spacing w:after="20"/>
        <w:ind w:left="360"/>
      </w:pPr>
      <w:r>
        <w:rPr>
          <w:sz w:val="20"/>
          <w:szCs w:val="20"/>
        </w:rPr>
        <w:t xml:space="preserve">D. Highest-cost-first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Schemes must benchmark to TRI (not PRI) since:</w:t>
      </w:r>
    </w:p>
    <w:p>
      <w:pPr>
        <w:spacing w:after="20"/>
        <w:ind w:left="360"/>
      </w:pPr>
      <w:r>
        <w:rPr>
          <w:sz w:val="20"/>
          <w:szCs w:val="20"/>
        </w:rPr>
        <w:t xml:space="preserve">A. April 2017</w:t>
      </w:r>
    </w:p>
    <w:p>
      <w:pPr>
        <w:spacing w:after="20"/>
        <w:ind w:left="360"/>
      </w:pPr>
      <w:r>
        <w:rPr>
          <w:sz w:val="20"/>
          <w:szCs w:val="20"/>
        </w:rPr>
        <w:t xml:space="preserve">B. February 2018</w:t>
      </w:r>
    </w:p>
    <w:p>
      <w:pPr>
        <w:spacing w:after="20"/>
        <w:ind w:left="360"/>
      </w:pPr>
      <w:r>
        <w:rPr>
          <w:sz w:val="20"/>
          <w:szCs w:val="20"/>
        </w:rPr>
        <w:t xml:space="preserve">C. January 2020</w:t>
      </w:r>
    </w:p>
    <w:p>
      <w:pPr>
        <w:spacing w:after="20"/>
        <w:ind w:left="360"/>
      </w:pPr>
      <w:r>
        <w:rPr>
          <w:sz w:val="20"/>
          <w:szCs w:val="20"/>
        </w:rPr>
        <w:t xml:space="preserve">D. July 2024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The Sharpe Ratio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(Return−Rf)÷Beta</w:t>
      </w:r>
    </w:p>
    <w:p>
      <w:pPr>
        <w:spacing w:after="20"/>
        <w:ind w:left="360"/>
      </w:pPr>
      <w:r>
        <w:rPr>
          <w:sz w:val="20"/>
          <w:szCs w:val="20"/>
        </w:rPr>
        <w:t xml:space="preserve">B. (Return−Rf)÷Standard Deviation</w:t>
      </w:r>
    </w:p>
    <w:p>
      <w:pPr>
        <w:spacing w:after="20"/>
        <w:ind w:left="360"/>
      </w:pPr>
      <w:r>
        <w:rPr>
          <w:sz w:val="20"/>
          <w:szCs w:val="20"/>
        </w:rPr>
        <w:t xml:space="preserve">C. Return÷Rf</w:t>
      </w:r>
    </w:p>
    <w:p>
      <w:pPr>
        <w:spacing w:after="20"/>
        <w:ind w:left="360"/>
      </w:pPr>
      <w:r>
        <w:rPr>
          <w:sz w:val="20"/>
          <w:szCs w:val="20"/>
        </w:rPr>
        <w:t xml:space="preserve">D. (Return−Rf)÷Variance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A fund with Beta 1.2, if the market rises 10%, would move about:</w:t>
      </w:r>
    </w:p>
    <w:p>
      <w:pPr>
        <w:spacing w:after="20"/>
        <w:ind w:left="360"/>
      </w:pPr>
      <w:r>
        <w:rPr>
          <w:sz w:val="20"/>
          <w:szCs w:val="20"/>
        </w:rPr>
        <w:t xml:space="preserve">A. 8%</w:t>
      </w:r>
    </w:p>
    <w:p>
      <w:pPr>
        <w:spacing w:after="20"/>
        <w:ind w:left="360"/>
      </w:pPr>
      <w:r>
        <w:rPr>
          <w:sz w:val="20"/>
          <w:szCs w:val="20"/>
        </w:rPr>
        <w:t xml:space="preserve">B. 10%</w:t>
      </w:r>
    </w:p>
    <w:p>
      <w:pPr>
        <w:spacing w:after="20"/>
        <w:ind w:left="360"/>
      </w:pPr>
      <w:r>
        <w:rPr>
          <w:sz w:val="20"/>
          <w:szCs w:val="20"/>
        </w:rPr>
        <w:t xml:space="preserve">C. 12%</w:t>
      </w:r>
    </w:p>
    <w:p>
      <w:pPr>
        <w:spacing w:after="20"/>
        <w:ind w:left="360"/>
      </w:pPr>
      <w:r>
        <w:rPr>
          <w:sz w:val="20"/>
          <w:szCs w:val="20"/>
        </w:rPr>
        <w:t xml:space="preserve">D. Down 12%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In core-and-satellite investing, the satellite is used for:</w:t>
      </w:r>
    </w:p>
    <w:p>
      <w:pPr>
        <w:spacing w:after="20"/>
        <w:ind w:left="360"/>
      </w:pPr>
      <w:r>
        <w:rPr>
          <w:sz w:val="20"/>
          <w:szCs w:val="20"/>
        </w:rPr>
        <w:t xml:space="preserve">A. Long-term core holdings</w:t>
      </w:r>
    </w:p>
    <w:p>
      <w:pPr>
        <w:spacing w:after="20"/>
        <w:ind w:left="360"/>
      </w:pPr>
      <w:r>
        <w:rPr>
          <w:sz w:val="20"/>
          <w:szCs w:val="20"/>
        </w:rPr>
        <w:t xml:space="preserve">B. Tactical, short-term bets</w:t>
      </w:r>
    </w:p>
    <w:p>
      <w:pPr>
        <w:spacing w:after="20"/>
        <w:ind w:left="360"/>
      </w:pPr>
      <w:r>
        <w:rPr>
          <w:sz w:val="20"/>
          <w:szCs w:val="20"/>
        </w:rPr>
        <w:t xml:space="preserve">C. Emergency funds</w:t>
      </w:r>
    </w:p>
    <w:p>
      <w:pPr>
        <w:spacing w:after="20"/>
        <w:ind w:left="360"/>
      </w:pPr>
      <w:r>
        <w:rPr>
          <w:sz w:val="20"/>
          <w:szCs w:val="20"/>
        </w:rPr>
        <w:t xml:space="preserve">D. Retirement savings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A sound scheme selection practice is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Select on recent past performance alone</w:t>
      </w:r>
    </w:p>
    <w:p>
      <w:pPr>
        <w:spacing w:after="20"/>
        <w:ind w:left="360"/>
      </w:pPr>
      <w:r>
        <w:rPr>
          <w:sz w:val="20"/>
          <w:szCs w:val="20"/>
        </w:rPr>
        <w:t xml:space="preserve">B. Assess suitability to the client's needs and risk profile</w:t>
      </w:r>
    </w:p>
    <w:p>
      <w:pPr>
        <w:spacing w:after="20"/>
        <w:ind w:left="360"/>
      </w:pPr>
      <w:r>
        <w:rPr>
          <w:sz w:val="20"/>
          <w:szCs w:val="20"/>
        </w:rPr>
        <w:t xml:space="preserve">C. Pick the highest-commission scheme</w:t>
      </w:r>
    </w:p>
    <w:p>
      <w:pPr>
        <w:spacing w:after="20"/>
        <w:ind w:left="360"/>
      </w:pPr>
      <w:r>
        <w:rPr>
          <w:sz w:val="20"/>
          <w:szCs w:val="20"/>
        </w:rPr>
        <w:t xml:space="preserve">D. Ignore stated asset allocation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Among Multi Cap, Large &amp; Mid Cap, and Small Cap, which is riskiest?</w:t>
      </w:r>
    </w:p>
    <w:p>
      <w:pPr>
        <w:spacing w:after="20"/>
        <w:ind w:left="360"/>
      </w:pPr>
      <w:r>
        <w:rPr>
          <w:sz w:val="20"/>
          <w:szCs w:val="20"/>
        </w:rPr>
        <w:t xml:space="preserve">A. Multi Cap</w:t>
      </w:r>
    </w:p>
    <w:p>
      <w:pPr>
        <w:spacing w:after="20"/>
        <w:ind w:left="360"/>
      </w:pPr>
      <w:r>
        <w:rPr>
          <w:sz w:val="20"/>
          <w:szCs w:val="20"/>
        </w:rPr>
        <w:t xml:space="preserve">B. Large &amp; Mid Cap</w:t>
      </w:r>
    </w:p>
    <w:p>
      <w:pPr>
        <w:spacing w:after="20"/>
        <w:ind w:left="360"/>
      </w:pPr>
      <w:r>
        <w:rPr>
          <w:sz w:val="20"/>
          <w:szCs w:val="20"/>
        </w:rPr>
        <w:t xml:space="preserve">C. Small Cap</w:t>
      </w:r>
    </w:p>
    <w:p>
      <w:pPr>
        <w:spacing w:after="20"/>
        <w:ind w:left="360"/>
      </w:pPr>
      <w:r>
        <w:rPr>
          <w:sz w:val="20"/>
          <w:szCs w:val="20"/>
        </w:rPr>
        <w:t xml:space="preserve">D. All identical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Recommended minimum track record before selecting an equity fund:</w:t>
      </w:r>
    </w:p>
    <w:p>
      <w:pPr>
        <w:spacing w:after="20"/>
        <w:ind w:left="360"/>
      </w:pPr>
      <w:r>
        <w:rPr>
          <w:sz w:val="20"/>
          <w:szCs w:val="20"/>
        </w:rPr>
        <w:t xml:space="preserve">A. 5 years</w:t>
      </w:r>
    </w:p>
    <w:p>
      <w:pPr>
        <w:spacing w:after="20"/>
        <w:ind w:left="360"/>
      </w:pPr>
      <w:r>
        <w:rPr>
          <w:sz w:val="20"/>
          <w:szCs w:val="20"/>
        </w:rPr>
        <w:t xml:space="preserve">B. 6 months</w:t>
      </w:r>
    </w:p>
    <w:p>
      <w:pPr>
        <w:spacing w:after="20"/>
        <w:ind w:left="360"/>
      </w:pPr>
      <w:r>
        <w:rPr>
          <w:sz w:val="20"/>
          <w:szCs w:val="20"/>
        </w:rPr>
        <w:t xml:space="preserve">C. 1 year</w:t>
      </w:r>
    </w:p>
    <w:p>
      <w:pPr>
        <w:spacing w:after="20"/>
        <w:ind w:left="360"/>
      </w:pPr>
      <w:r>
        <w:rPr>
          <w:sz w:val="20"/>
          <w:szCs w:val="20"/>
        </w:rPr>
        <w:t xml:space="preserve">D. No minimum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1-D   2-C   3-B   4-B   5-B   6-C   7-B   8-B   9-C   10-A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4 — Basics of Derivatives, the Index &amp; Forwards/Futures (Ch. 13–15, 30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A derivative's value derives from an underlying asset. Hedgers reduce risk; speculators take directional bets; arbitrageurs exploit price gaps. Free-float market cap weighting (used by Nifty 50, Sensex) weights by publicly tradeable shares only.</w:t>
      </w:r>
    </w:p>
    <w:p>
      <w:pPr>
        <w:spacing w:after="160"/>
      </w:pPr>
      <w:r>
        <w:rPr>
          <w:sz w:val="21"/>
          <w:szCs w:val="21"/>
        </w:rPr>
        <w:t xml:space="preserve">Forwards are customised OTC agreements; futures are their standardised, exchange-traded, daily-margined cousins. Contract value = futures price × lot size. On expiry, cash and futures prices converge (price discovery).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Hedger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Reduces existing risk exposure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Speculator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Takes directional bets for profit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Free-float weighting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By publicly tradeable shares, not total shares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Futures contract value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Futures price × lot size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Futures pricing model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Cost-of-carry: Spot + financing cost − dividend yield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A derivative's value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Independent of any asset</w:t>
      </w:r>
    </w:p>
    <w:p>
      <w:pPr>
        <w:spacing w:after="20"/>
        <w:ind w:left="360"/>
      </w:pPr>
      <w:r>
        <w:rPr>
          <w:sz w:val="20"/>
          <w:szCs w:val="20"/>
        </w:rPr>
        <w:t xml:space="preserve">B. Derived from an underlying asset</w:t>
      </w:r>
    </w:p>
    <w:p>
      <w:pPr>
        <w:spacing w:after="20"/>
        <w:ind w:left="360"/>
      </w:pPr>
      <w:r>
        <w:rPr>
          <w:sz w:val="20"/>
          <w:szCs w:val="20"/>
        </w:rPr>
        <w:t xml:space="preserve">C. Always equal to the underlying</w:t>
      </w:r>
    </w:p>
    <w:p>
      <w:pPr>
        <w:spacing w:after="20"/>
        <w:ind w:left="360"/>
      </w:pPr>
      <w:r>
        <w:rPr>
          <w:sz w:val="20"/>
          <w:szCs w:val="20"/>
        </w:rPr>
        <w:t xml:space="preserve">D. Fixed permanently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A trader reducing existing risk via derivatives is a:</w:t>
      </w:r>
    </w:p>
    <w:p>
      <w:pPr>
        <w:spacing w:after="20"/>
        <w:ind w:left="360"/>
      </w:pPr>
      <w:r>
        <w:rPr>
          <w:sz w:val="20"/>
          <w:szCs w:val="20"/>
        </w:rPr>
        <w:t xml:space="preserve">A. Speculator</w:t>
      </w:r>
    </w:p>
    <w:p>
      <w:pPr>
        <w:spacing w:after="20"/>
        <w:ind w:left="360"/>
      </w:pPr>
      <w:r>
        <w:rPr>
          <w:sz w:val="20"/>
          <w:szCs w:val="20"/>
        </w:rPr>
        <w:t xml:space="preserve">B. Hedger</w:t>
      </w:r>
    </w:p>
    <w:p>
      <w:pPr>
        <w:spacing w:after="20"/>
        <w:ind w:left="360"/>
      </w:pPr>
      <w:r>
        <w:rPr>
          <w:sz w:val="20"/>
          <w:szCs w:val="20"/>
        </w:rPr>
        <w:t xml:space="preserve">C. Arbitrageur only</w:t>
      </w:r>
    </w:p>
    <w:p>
      <w:pPr>
        <w:spacing w:after="20"/>
        <w:ind w:left="360"/>
      </w:pPr>
      <w:r>
        <w:rPr>
          <w:sz w:val="20"/>
          <w:szCs w:val="20"/>
        </w:rPr>
        <w:t xml:space="preserve">D. Regulator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Arbitrage involves:</w:t>
      </w:r>
    </w:p>
    <w:p>
      <w:pPr>
        <w:spacing w:after="20"/>
        <w:ind w:left="360"/>
      </w:pPr>
      <w:r>
        <w:rPr>
          <w:sz w:val="20"/>
          <w:szCs w:val="20"/>
        </w:rPr>
        <w:t xml:space="preserve">A. New directional risk</w:t>
      </w:r>
    </w:p>
    <w:p>
      <w:pPr>
        <w:spacing w:after="20"/>
        <w:ind w:left="360"/>
      </w:pPr>
      <w:r>
        <w:rPr>
          <w:sz w:val="20"/>
          <w:szCs w:val="20"/>
        </w:rPr>
        <w:t xml:space="preserve">B. Exploiting price discrepancies for near risk-free profit</w:t>
      </w:r>
    </w:p>
    <w:p>
      <w:pPr>
        <w:spacing w:after="20"/>
        <w:ind w:left="360"/>
      </w:pPr>
      <w:r>
        <w:rPr>
          <w:sz w:val="20"/>
          <w:szCs w:val="20"/>
        </w:rPr>
        <w:t xml:space="preserve">C. Avoiding derivatives</w:t>
      </w:r>
    </w:p>
    <w:p>
      <w:pPr>
        <w:spacing w:after="20"/>
        <w:ind w:left="360"/>
      </w:pPr>
      <w:r>
        <w:rPr>
          <w:sz w:val="20"/>
          <w:szCs w:val="20"/>
        </w:rPr>
        <w:t xml:space="preserve">D. Cash market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A free-float index weights constituents by:</w:t>
      </w:r>
    </w:p>
    <w:p>
      <w:pPr>
        <w:spacing w:after="20"/>
        <w:ind w:left="360"/>
      </w:pPr>
      <w:r>
        <w:rPr>
          <w:sz w:val="20"/>
          <w:szCs w:val="20"/>
        </w:rPr>
        <w:t xml:space="preserve">A. Total shares outstanding</w:t>
      </w:r>
    </w:p>
    <w:p>
      <w:pPr>
        <w:spacing w:after="20"/>
        <w:ind w:left="360"/>
      </w:pPr>
      <w:r>
        <w:rPr>
          <w:sz w:val="20"/>
          <w:szCs w:val="20"/>
        </w:rPr>
        <w:t xml:space="preserve">B. Shares available for public trading</w:t>
      </w:r>
    </w:p>
    <w:p>
      <w:pPr>
        <w:spacing w:after="20"/>
        <w:ind w:left="360"/>
      </w:pPr>
      <w:r>
        <w:rPr>
          <w:sz w:val="20"/>
          <w:szCs w:val="20"/>
        </w:rPr>
        <w:t xml:space="preserve">C. Equal weight</w:t>
      </w:r>
    </w:p>
    <w:p>
      <w:pPr>
        <w:spacing w:after="20"/>
        <w:ind w:left="360"/>
      </w:pPr>
      <w:r>
        <w:rPr>
          <w:sz w:val="20"/>
          <w:szCs w:val="20"/>
        </w:rPr>
        <w:t xml:space="preserve">D. Price per share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A forward contract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Standardised and exchange-traded</w:t>
      </w:r>
    </w:p>
    <w:p>
      <w:pPr>
        <w:spacing w:after="20"/>
        <w:ind w:left="360"/>
      </w:pPr>
      <w:r>
        <w:rPr>
          <w:sz w:val="20"/>
          <w:szCs w:val="20"/>
        </w:rPr>
        <w:t xml:space="preserve">B. Customised, OTC, bilateral</w:t>
      </w:r>
    </w:p>
    <w:p>
      <w:pPr>
        <w:spacing w:after="20"/>
        <w:ind w:left="360"/>
      </w:pPr>
      <w:r>
        <w:rPr>
          <w:sz w:val="20"/>
          <w:szCs w:val="20"/>
        </w:rPr>
        <w:t xml:space="preserve">C. Always centrally cleared</w:t>
      </w:r>
    </w:p>
    <w:p>
      <w:pPr>
        <w:spacing w:after="20"/>
        <w:ind w:left="360"/>
      </w:pPr>
      <w:r>
        <w:rPr>
          <w:sz w:val="20"/>
          <w:szCs w:val="20"/>
        </w:rPr>
        <w:t xml:space="preserve">D. Always cash-settled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Futures contract value equals:</w:t>
      </w:r>
    </w:p>
    <w:p>
      <w:pPr>
        <w:spacing w:after="20"/>
        <w:ind w:left="360"/>
      </w:pPr>
      <w:r>
        <w:rPr>
          <w:sz w:val="20"/>
          <w:szCs w:val="20"/>
        </w:rPr>
        <w:t xml:space="preserve">A. Futures price alone</w:t>
      </w:r>
    </w:p>
    <w:p>
      <w:pPr>
        <w:spacing w:after="20"/>
        <w:ind w:left="360"/>
      </w:pPr>
      <w:r>
        <w:rPr>
          <w:sz w:val="20"/>
          <w:szCs w:val="20"/>
        </w:rPr>
        <w:t xml:space="preserve">B. Futures price × lot size</w:t>
      </w:r>
    </w:p>
    <w:p>
      <w:pPr>
        <w:spacing w:after="20"/>
        <w:ind w:left="360"/>
      </w:pPr>
      <w:r>
        <w:rPr>
          <w:sz w:val="20"/>
          <w:szCs w:val="20"/>
        </w:rPr>
        <w:t xml:space="preserve">C. Spot price × lot size always</w:t>
      </w:r>
    </w:p>
    <w:p>
      <w:pPr>
        <w:spacing w:after="20"/>
        <w:ind w:left="360"/>
      </w:pPr>
      <w:r>
        <w:rPr>
          <w:sz w:val="20"/>
          <w:szCs w:val="20"/>
        </w:rPr>
        <w:t xml:space="preserve">D. Strike price × lot size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On expiry, cash and futures prices are expected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Diverge permanently</w:t>
      </w:r>
    </w:p>
    <w:p>
      <w:pPr>
        <w:spacing w:after="20"/>
        <w:ind w:left="360"/>
      </w:pPr>
      <w:r>
        <w:rPr>
          <w:sz w:val="20"/>
          <w:szCs w:val="20"/>
        </w:rPr>
        <w:t xml:space="preserve">B. Converge</w:t>
      </w:r>
    </w:p>
    <w:p>
      <w:pPr>
        <w:spacing w:after="20"/>
        <w:ind w:left="360"/>
      </w:pPr>
      <w:r>
        <w:rPr>
          <w:sz w:val="20"/>
          <w:szCs w:val="20"/>
        </w:rPr>
        <w:t xml:space="preserve">C. Become unrelated</w:t>
      </w:r>
    </w:p>
    <w:p>
      <w:pPr>
        <w:spacing w:after="20"/>
        <w:ind w:left="360"/>
      </w:pPr>
      <w:r>
        <w:rPr>
          <w:sz w:val="20"/>
          <w:szCs w:val="20"/>
        </w:rPr>
        <w:t xml:space="preserve">D. Differ by the full carry cost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The cost-of-carry model prices futures as:</w:t>
      </w:r>
    </w:p>
    <w:p>
      <w:pPr>
        <w:spacing w:after="20"/>
        <w:ind w:left="360"/>
      </w:pPr>
      <w:r>
        <w:rPr>
          <w:sz w:val="20"/>
          <w:szCs w:val="20"/>
        </w:rPr>
        <w:t xml:space="preserve">A. Spot minus financing cost always</w:t>
      </w:r>
    </w:p>
    <w:p>
      <w:pPr>
        <w:spacing w:after="20"/>
        <w:ind w:left="360"/>
      </w:pPr>
      <w:r>
        <w:rPr>
          <w:sz w:val="20"/>
          <w:szCs w:val="20"/>
        </w:rPr>
        <w:t xml:space="preserve">B. Spot plus net cost of carry</w:t>
      </w:r>
    </w:p>
    <w:p>
      <w:pPr>
        <w:spacing w:after="20"/>
        <w:ind w:left="360"/>
      </w:pPr>
      <w:r>
        <w:rPr>
          <w:sz w:val="20"/>
          <w:szCs w:val="20"/>
        </w:rPr>
        <w:t xml:space="preserve">C. A fixed government rate</w:t>
      </w:r>
    </w:p>
    <w:p>
      <w:pPr>
        <w:spacing w:after="20"/>
        <w:ind w:left="360"/>
      </w:pPr>
      <w:r>
        <w:rPr>
          <w:sz w:val="20"/>
          <w:szCs w:val="20"/>
        </w:rPr>
        <w:t xml:space="preserve">D. Always equal to spot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Open interest refers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Total outstanding contracts not yet settled</w:t>
      </w:r>
    </w:p>
    <w:p>
      <w:pPr>
        <w:spacing w:after="20"/>
        <w:ind w:left="360"/>
      </w:pPr>
      <w:r>
        <w:rPr>
          <w:sz w:val="20"/>
          <w:szCs w:val="20"/>
        </w:rPr>
        <w:t xml:space="preserve">B. An option's intrinsic value</w:t>
      </w:r>
    </w:p>
    <w:p>
      <w:pPr>
        <w:spacing w:after="20"/>
        <w:ind w:left="360"/>
      </w:pPr>
      <w:r>
        <w:rPr>
          <w:sz w:val="20"/>
          <w:szCs w:val="20"/>
        </w:rPr>
        <w:t xml:space="preserve">C. The bid-ask spread</w:t>
      </w:r>
    </w:p>
    <w:p>
      <w:pPr>
        <w:spacing w:after="20"/>
        <w:ind w:left="360"/>
      </w:pPr>
      <w:r>
        <w:rPr>
          <w:sz w:val="20"/>
          <w:szCs w:val="20"/>
        </w:rPr>
        <w:t xml:space="preserve">D. Trading hours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Using index futures to protect an equity portfolio against decline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Speculation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Hedging</w:t>
      </w:r>
    </w:p>
    <w:p>
      <w:pPr>
        <w:spacing w:after="20"/>
        <w:ind w:left="360"/>
      </w:pPr>
      <w:r>
        <w:rPr>
          <w:sz w:val="20"/>
          <w:szCs w:val="20"/>
        </w:rPr>
        <w:t xml:space="preserve">C. Pure arbitrage</w:t>
      </w:r>
    </w:p>
    <w:p>
      <w:pPr>
        <w:spacing w:after="20"/>
        <w:ind w:left="360"/>
      </w:pPr>
      <w:r>
        <w:rPr>
          <w:sz w:val="20"/>
          <w:szCs w:val="20"/>
        </w:rPr>
        <w:t xml:space="preserve">D. Illegal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3-B   4-B   5-B   6-B   7-B   8-B   9-A   10-B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5 — Options &amp; Equity F&amp;O Strategies (Ch. 16–17, 22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A call is the right to buy; a put is the right to sell, at the strike price. Premium = intrinsic value + time value. Delta measures premium sensitivity to the underlying; Gamma measures change in Delta; Theta measures time decay; Vega measures sensitivity to implied volatility.</w:t>
      </w:r>
    </w:p>
    <w:p>
      <w:pPr>
        <w:spacing w:after="160"/>
      </w:pPr>
      <w:r>
        <w:rPr>
          <w:sz w:val="21"/>
          <w:szCs w:val="21"/>
        </w:rPr>
        <w:t xml:space="preserve">Put-call parity ties a call, put, and underlying together — violations create arbitrage. Delta-hedging builds a position momentarily insensitive to small underlying moves.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Call option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Right to buy at the strike price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Put option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Right to sell at the strike price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Delta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Premium change per unit move in underlying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Theta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Time decay sensitivity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Put-call parity violation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Creates a risk-free arbitrage opportunity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A call option gives the holder:</w:t>
      </w:r>
    </w:p>
    <w:p>
      <w:pPr>
        <w:spacing w:after="20"/>
        <w:ind w:left="360"/>
      </w:pPr>
      <w:r>
        <w:rPr>
          <w:sz w:val="20"/>
          <w:szCs w:val="20"/>
        </w:rPr>
        <w:t xml:space="preserve">A. The obligation to sell</w:t>
      </w:r>
    </w:p>
    <w:p>
      <w:pPr>
        <w:spacing w:after="20"/>
        <w:ind w:left="360"/>
      </w:pPr>
      <w:r>
        <w:rPr>
          <w:sz w:val="20"/>
          <w:szCs w:val="20"/>
        </w:rPr>
        <w:t xml:space="preserve">B. The right, not obligation, to buy at strike</w:t>
      </w:r>
    </w:p>
    <w:p>
      <w:pPr>
        <w:spacing w:after="20"/>
        <w:ind w:left="360"/>
      </w:pPr>
      <w:r>
        <w:rPr>
          <w:sz w:val="20"/>
          <w:szCs w:val="20"/>
        </w:rPr>
        <w:t xml:space="preserve">C. The obligation to buy regardless</w:t>
      </w:r>
    </w:p>
    <w:p>
      <w:pPr>
        <w:spacing w:after="20"/>
        <w:ind w:left="360"/>
      </w:pPr>
      <w:r>
        <w:rPr>
          <w:sz w:val="20"/>
          <w:szCs w:val="20"/>
        </w:rPr>
        <w:t xml:space="preserve">D. No rights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An option's premium consists of:</w:t>
      </w:r>
    </w:p>
    <w:p>
      <w:pPr>
        <w:spacing w:after="20"/>
        <w:ind w:left="360"/>
      </w:pPr>
      <w:r>
        <w:rPr>
          <w:sz w:val="20"/>
          <w:szCs w:val="20"/>
        </w:rPr>
        <w:t xml:space="preserve">A. Intrinsic and time value</w:t>
      </w:r>
    </w:p>
    <w:p>
      <w:pPr>
        <w:spacing w:after="20"/>
        <w:ind w:left="360"/>
      </w:pPr>
      <w:r>
        <w:rPr>
          <w:sz w:val="20"/>
          <w:szCs w:val="20"/>
        </w:rPr>
        <w:t xml:space="preserve">B. Only intrinsic value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time value</w:t>
      </w:r>
    </w:p>
    <w:p>
      <w:pPr>
        <w:spacing w:after="20"/>
        <w:ind w:left="360"/>
      </w:pPr>
      <w:r>
        <w:rPr>
          <w:sz w:val="20"/>
          <w:szCs w:val="20"/>
        </w:rPr>
        <w:t xml:space="preserve">D. Strike minus spot always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Delta measures:</w:t>
      </w:r>
    </w:p>
    <w:p>
      <w:pPr>
        <w:spacing w:after="20"/>
        <w:ind w:left="360"/>
      </w:pPr>
      <w:r>
        <w:rPr>
          <w:sz w:val="20"/>
          <w:szCs w:val="20"/>
        </w:rPr>
        <w:t xml:space="preserve">A. Premium change per unit move in underlying</w:t>
      </w:r>
    </w:p>
    <w:p>
      <w:pPr>
        <w:spacing w:after="20"/>
        <w:ind w:left="360"/>
      </w:pPr>
      <w:r>
        <w:rPr>
          <w:sz w:val="20"/>
          <w:szCs w:val="20"/>
        </w:rPr>
        <w:t xml:space="preserve">B. Time decay</w:t>
      </w:r>
    </w:p>
    <w:p>
      <w:pPr>
        <w:spacing w:after="20"/>
        <w:ind w:left="360"/>
      </w:pPr>
      <w:r>
        <w:rPr>
          <w:sz w:val="20"/>
          <w:szCs w:val="20"/>
        </w:rPr>
        <w:t xml:space="preserve">C. Sensitivity to volatility</w:t>
      </w:r>
    </w:p>
    <w:p>
      <w:pPr>
        <w:spacing w:after="20"/>
        <w:ind w:left="360"/>
      </w:pPr>
      <w:r>
        <w:rPr>
          <w:sz w:val="20"/>
          <w:szCs w:val="20"/>
        </w:rPr>
        <w:t xml:space="preserve">D. The strike price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Delta for a call buyer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Negative</w:t>
      </w:r>
    </w:p>
    <w:p>
      <w:pPr>
        <w:spacing w:after="20"/>
        <w:ind w:left="360"/>
      </w:pPr>
      <w:r>
        <w:rPr>
          <w:sz w:val="20"/>
          <w:szCs w:val="20"/>
        </w:rPr>
        <w:t xml:space="preserve">B. Positive</w:t>
      </w:r>
    </w:p>
    <w:p>
      <w:pPr>
        <w:spacing w:after="20"/>
        <w:ind w:left="360"/>
      </w:pPr>
      <w:r>
        <w:rPr>
          <w:sz w:val="20"/>
          <w:szCs w:val="20"/>
        </w:rPr>
        <w:t xml:space="preserve">C. Always zero</w:t>
      </w:r>
    </w:p>
    <w:p>
      <w:pPr>
        <w:spacing w:after="20"/>
        <w:ind w:left="360"/>
      </w:pPr>
      <w:r>
        <w:rPr>
          <w:sz w:val="20"/>
          <w:szCs w:val="20"/>
        </w:rPr>
        <w:t xml:space="preserve">D. Always exactly 1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Theta measures sensitivity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Volatility changes</w:t>
      </w:r>
    </w:p>
    <w:p>
      <w:pPr>
        <w:spacing w:after="20"/>
        <w:ind w:left="360"/>
      </w:pPr>
      <w:r>
        <w:rPr>
          <w:sz w:val="20"/>
          <w:szCs w:val="20"/>
        </w:rPr>
        <w:t xml:space="preserve">B. Time decay</w:t>
      </w:r>
    </w:p>
    <w:p>
      <w:pPr>
        <w:spacing w:after="20"/>
        <w:ind w:left="360"/>
      </w:pPr>
      <w:r>
        <w:rPr>
          <w:sz w:val="20"/>
          <w:szCs w:val="20"/>
        </w:rPr>
        <w:t xml:space="preserve">C. Underlying price only</w:t>
      </w:r>
    </w:p>
    <w:p>
      <w:pPr>
        <w:spacing w:after="20"/>
        <w:ind w:left="360"/>
      </w:pPr>
      <w:r>
        <w:rPr>
          <w:sz w:val="20"/>
          <w:szCs w:val="20"/>
        </w:rPr>
        <w:t xml:space="preserve">D. Interest rates only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Vega measures sensitivity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Time decay</w:t>
      </w:r>
    </w:p>
    <w:p>
      <w:pPr>
        <w:spacing w:after="20"/>
        <w:ind w:left="360"/>
      </w:pPr>
      <w:r>
        <w:rPr>
          <w:sz w:val="20"/>
          <w:szCs w:val="20"/>
        </w:rPr>
        <w:t xml:space="preserve">B. Implied volatility changes</w:t>
      </w:r>
    </w:p>
    <w:p>
      <w:pPr>
        <w:spacing w:after="20"/>
        <w:ind w:left="360"/>
      </w:pPr>
      <w:r>
        <w:rPr>
          <w:sz w:val="20"/>
          <w:szCs w:val="20"/>
        </w:rPr>
        <w:t xml:space="preserve">C. Strike price</w:t>
      </w:r>
    </w:p>
    <w:p>
      <w:pPr>
        <w:spacing w:after="20"/>
        <w:ind w:left="360"/>
      </w:pPr>
      <w:r>
        <w:rPr>
          <w:sz w:val="20"/>
          <w:szCs w:val="20"/>
        </w:rPr>
        <w:t xml:space="preserve">D. Lot size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Put-call parity ties together:</w:t>
      </w:r>
    </w:p>
    <w:p>
      <w:pPr>
        <w:spacing w:after="20"/>
        <w:ind w:left="360"/>
      </w:pPr>
      <w:r>
        <w:rPr>
          <w:sz w:val="20"/>
          <w:szCs w:val="20"/>
        </w:rPr>
        <w:t xml:space="preserve">A. A call, a put, and the underlying's price</w:t>
      </w:r>
    </w:p>
    <w:p>
      <w:pPr>
        <w:spacing w:after="20"/>
        <w:ind w:left="360"/>
      </w:pPr>
      <w:r>
        <w:rPr>
          <w:sz w:val="20"/>
          <w:szCs w:val="20"/>
        </w:rPr>
        <w:t xml:space="preserve">B. Two unrelated calls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futures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the risk-free rate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If put-call parity is violated, this creates:</w:t>
      </w:r>
    </w:p>
    <w:p>
      <w:pPr>
        <w:spacing w:after="20"/>
        <w:ind w:left="360"/>
      </w:pPr>
      <w:r>
        <w:rPr>
          <w:sz w:val="20"/>
          <w:szCs w:val="20"/>
        </w:rPr>
        <w:t xml:space="preserve">A. Guaranteed loss</w:t>
      </w:r>
    </w:p>
    <w:p>
      <w:pPr>
        <w:spacing w:after="20"/>
        <w:ind w:left="360"/>
      </w:pPr>
      <w:r>
        <w:rPr>
          <w:sz w:val="20"/>
          <w:szCs w:val="20"/>
        </w:rPr>
        <w:t xml:space="preserve">B. Risk-free arbitrage opportunity</w:t>
      </w:r>
    </w:p>
    <w:p>
      <w:pPr>
        <w:spacing w:after="20"/>
        <w:ind w:left="360"/>
      </w:pPr>
      <w:r>
        <w:rPr>
          <w:sz w:val="20"/>
          <w:szCs w:val="20"/>
        </w:rPr>
        <w:t xml:space="preserve">C. A regulatory penalty</w:t>
      </w:r>
    </w:p>
    <w:p>
      <w:pPr>
        <w:spacing w:after="20"/>
        <w:ind w:left="360"/>
      </w:pPr>
      <w:r>
        <w:rPr>
          <w:sz w:val="20"/>
          <w:szCs w:val="20"/>
        </w:rPr>
        <w:t xml:space="preserve">D. Contract cancellation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Delta-hedging constructs a position that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Permanently risk-free</w:t>
      </w:r>
    </w:p>
    <w:p>
      <w:pPr>
        <w:spacing w:after="20"/>
        <w:ind w:left="360"/>
      </w:pPr>
      <w:r>
        <w:rPr>
          <w:sz w:val="20"/>
          <w:szCs w:val="20"/>
        </w:rPr>
        <w:t xml:space="preserve">B. Momentarily insensitive to small underlying moves</w:t>
      </w:r>
    </w:p>
    <w:p>
      <w:pPr>
        <w:spacing w:after="20"/>
        <w:ind w:left="360"/>
      </w:pPr>
      <w:r>
        <w:rPr>
          <w:sz w:val="20"/>
          <w:szCs w:val="20"/>
        </w:rPr>
        <w:t xml:space="preserve">C. Guaranteed to profit from volatility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possible with futures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A covered call involves:</w:t>
      </w:r>
    </w:p>
    <w:p>
      <w:pPr>
        <w:spacing w:after="20"/>
        <w:ind w:left="360"/>
      </w:pPr>
      <w:r>
        <w:rPr>
          <w:sz w:val="20"/>
          <w:szCs w:val="20"/>
        </w:rPr>
        <w:t xml:space="preserve">A. Buying a call with no stock position</w:t>
      </w:r>
    </w:p>
    <w:p>
      <w:pPr>
        <w:spacing w:after="20"/>
        <w:ind w:left="360"/>
      </w:pPr>
      <w:r>
        <w:rPr>
          <w:sz w:val="20"/>
          <w:szCs w:val="20"/>
        </w:rPr>
        <w:t xml:space="preserve">B. Selling a call while holding the underlying stock</w:t>
      </w:r>
    </w:p>
    <w:p>
      <w:pPr>
        <w:spacing w:after="20"/>
        <w:ind w:left="360"/>
      </w:pPr>
      <w:r>
        <w:rPr>
          <w:sz w:val="20"/>
          <w:szCs w:val="20"/>
        </w:rPr>
        <w:t xml:space="preserve">C. Selling a put with no position</w:t>
      </w:r>
    </w:p>
    <w:p>
      <w:pPr>
        <w:spacing w:after="20"/>
        <w:ind w:left="360"/>
      </w:pPr>
      <w:r>
        <w:rPr>
          <w:sz w:val="20"/>
          <w:szCs w:val="20"/>
        </w:rPr>
        <w:t xml:space="preserve">D. Buying a call and put together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2-A   3-A   4-B   5-B   6-B   7-A   8-B   9-B   10-B</w:t>
      </w:r>
    </w:p>
    <w:p>
      <w:r>
        <w:br w:type="page"/>
      </w:r>
    </w:p>
    <w:p>
      <w:pPr>
        <w:pStyle w:val="Heading1"/>
        <w:spacing w:after="200" w:before="200"/>
      </w:pPr>
      <w:r>
        <w:rPr>
          <w:color w:val="152A4D"/>
        </w:rPr>
        <w:t xml:space="preserve">Worksheet 6 — Interest Rate &amp; Fixed Income Markets, IRD and Strategies (Ch. 18–22, 30 marks)</w:t>
      </w:r>
    </w:p>
    <w:p>
      <w:pPr>
        <w:spacing w:after="100"/>
      </w:pPr>
      <w:r>
        <w:rPr>
          <w:b/>
          <w:bCs/>
          <w:color w:val="0D7A6E"/>
          <w:sz w:val="24"/>
          <w:szCs w:val="24"/>
        </w:rPr>
        <w:t xml:space="preserve">Concept recap</w:t>
      </w:r>
    </w:p>
    <w:p>
      <w:pPr>
        <w:spacing w:after="160"/>
      </w:pPr>
      <w:r>
        <w:rPr>
          <w:sz w:val="21"/>
          <w:szCs w:val="21"/>
        </w:rPr>
        <w:t xml:space="preserve">The yield curve plots yields across maturities. Spot (zero) rates apply to zero-coupon instruments; accrued interest builds up since the last coupon. IRF contracts trade on GOI securities (4-8, 8-11, 11-15 year buckets), with a lot of notional Rs. 2 lakh (2,000 bonds), tick size Rs. 0.0025, cash-settled, expiring the last Thursday of the month.</w:t>
      </w:r>
    </w:p>
    <w:p>
      <w:pPr>
        <w:spacing w:after="160"/>
      </w:pPr>
      <w:r>
        <w:rPr>
          <w:sz w:val="21"/>
          <w:szCs w:val="21"/>
        </w:rPr>
        <w:t xml:space="preserve">IRO are options on IRF, using the same Greeks framework as equity options. IRD strategies apply futures/options to hedging a bond portfolio, speculation, arbitrage, and spread trading — with basis risk as a key limitation.</w:t>
      </w:r>
    </w:p>
    <w:p>
      <w:pPr>
        <w:spacing w:after="100" w:before="200"/>
      </w:pPr>
      <w:r>
        <w:rPr>
          <w:b/>
          <w:bCs/>
          <w:color w:val="0D7A6E"/>
          <w:sz w:val="24"/>
          <w:szCs w:val="24"/>
        </w:rPr>
        <w:t xml:space="preserve">Key numbers &amp; formulas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5500"/>
      </w:tblGrid>
      <w:tr>
        <w:tc>
          <w:tcPr>
            <w:tcW w:type="dxa" w:w="4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500"/>
            <w:shd w:fill="152A4D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 / Formula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IRF lot size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Notional Rs. 2 lakh (2,000 bonds)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IRF tick size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Rs. 0.0025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IRF expiry day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Last Thursday of the month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IRF settlement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Cash-settled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20"/>
                <w:szCs w:val="20"/>
              </w:rPr>
              <w:t xml:space="preserve">IRF underlying maturity buckets</w:t>
            </w:r>
          </w:p>
        </w:tc>
        <w:tc>
          <w:tcPr>
            <w:tcW w:type="dxa" w:w="5500"/>
          </w:tcPr>
          <w:p>
            <w:r>
              <w:rPr>
                <w:sz w:val="20"/>
                <w:szCs w:val="20"/>
              </w:rPr>
              <w:t xml:space="preserve">4–8, 8–11, 11–15 years</w:t>
            </w:r>
          </w:p>
        </w:tc>
      </w:tr>
    </w:tbl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Practice questions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1. The term structure of interest rates refers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Stock prices over time</w:t>
      </w:r>
    </w:p>
    <w:p>
      <w:pPr>
        <w:spacing w:after="20"/>
        <w:ind w:left="360"/>
      </w:pPr>
      <w:r>
        <w:rPr>
          <w:sz w:val="20"/>
          <w:szCs w:val="20"/>
        </w:rPr>
        <w:t xml:space="preserve">B. Yields across different maturities</w:t>
      </w:r>
    </w:p>
    <w:p>
      <w:pPr>
        <w:spacing w:after="20"/>
        <w:ind w:left="360"/>
      </w:pPr>
      <w:r>
        <w:rPr>
          <w:sz w:val="20"/>
          <w:szCs w:val="20"/>
        </w:rPr>
        <w:t xml:space="preserve">C. Currency rates</w:t>
      </w:r>
    </w:p>
    <w:p>
      <w:pPr>
        <w:spacing w:after="20"/>
        <w:ind w:left="360"/>
      </w:pPr>
      <w:r>
        <w:rPr>
          <w:sz w:val="20"/>
          <w:szCs w:val="20"/>
        </w:rPr>
        <w:t xml:space="preserve">D. Commodity trends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2. Accrued interest refers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Interest already fully paid</w:t>
      </w:r>
    </w:p>
    <w:p>
      <w:pPr>
        <w:spacing w:after="20"/>
        <w:ind w:left="360"/>
      </w:pPr>
      <w:r>
        <w:rPr>
          <w:sz w:val="20"/>
          <w:szCs w:val="20"/>
        </w:rPr>
        <w:t xml:space="preserve">B. Interest built up since the last coupon, owed to the seller</w:t>
      </w:r>
    </w:p>
    <w:p>
      <w:pPr>
        <w:spacing w:after="20"/>
        <w:ind w:left="360"/>
      </w:pPr>
      <w:r>
        <w:rPr>
          <w:sz w:val="20"/>
          <w:szCs w:val="20"/>
        </w:rPr>
        <w:t xml:space="preserve">C. A late penalty</w:t>
      </w:r>
    </w:p>
    <w:p>
      <w:pPr>
        <w:spacing w:after="20"/>
        <w:ind w:left="360"/>
      </w:pPr>
      <w:r>
        <w:rPr>
          <w:sz w:val="20"/>
          <w:szCs w:val="20"/>
        </w:rPr>
        <w:t xml:space="preserve">D. Interest on equity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3. OTC derivatives, compared to exchange-traded ones, are:</w:t>
      </w:r>
    </w:p>
    <w:p>
      <w:pPr>
        <w:spacing w:after="20"/>
        <w:ind w:left="360"/>
      </w:pPr>
      <w:r>
        <w:rPr>
          <w:sz w:val="20"/>
          <w:szCs w:val="20"/>
        </w:rPr>
        <w:t xml:space="preserve">A. Standardised and cleared</w:t>
      </w:r>
    </w:p>
    <w:p>
      <w:pPr>
        <w:spacing w:after="20"/>
        <w:ind w:left="360"/>
      </w:pPr>
      <w:r>
        <w:rPr>
          <w:sz w:val="20"/>
          <w:szCs w:val="20"/>
        </w:rPr>
        <w:t xml:space="preserve">B. Customised, bilateral, without central clearing</w:t>
      </w:r>
    </w:p>
    <w:p>
      <w:pPr>
        <w:spacing w:after="20"/>
        <w:ind w:left="360"/>
      </w:pPr>
      <w:r>
        <w:rPr>
          <w:sz w:val="20"/>
          <w:szCs w:val="20"/>
        </w:rPr>
        <w:t xml:space="preserve">C. Identical</w:t>
      </w:r>
    </w:p>
    <w:p>
      <w:pPr>
        <w:spacing w:after="20"/>
        <w:ind w:left="360"/>
      </w:pPr>
      <w:r>
        <w:rPr>
          <w:sz w:val="20"/>
          <w:szCs w:val="20"/>
        </w:rPr>
        <w:t xml:space="preserve">D. Banned in India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4. IRF lot size on a GOI security equals notional bonds of:</w:t>
      </w:r>
    </w:p>
    <w:p>
      <w:pPr>
        <w:spacing w:after="20"/>
        <w:ind w:left="360"/>
      </w:pPr>
      <w:r>
        <w:rPr>
          <w:sz w:val="20"/>
          <w:szCs w:val="20"/>
        </w:rPr>
        <w:t xml:space="preserve">A. Rs. 50,000</w:t>
      </w:r>
    </w:p>
    <w:p>
      <w:pPr>
        <w:spacing w:after="20"/>
        <w:ind w:left="360"/>
      </w:pPr>
      <w:r>
        <w:rPr>
          <w:sz w:val="20"/>
          <w:szCs w:val="20"/>
        </w:rPr>
        <w:t xml:space="preserve">B. Rs. 2 lakh (2,000 bonds)</w:t>
      </w:r>
    </w:p>
    <w:p>
      <w:pPr>
        <w:spacing w:after="20"/>
        <w:ind w:left="360"/>
      </w:pPr>
      <w:r>
        <w:rPr>
          <w:sz w:val="20"/>
          <w:szCs w:val="20"/>
        </w:rPr>
        <w:t xml:space="preserve">C. Rs. 10 lakh</w:t>
      </w:r>
    </w:p>
    <w:p>
      <w:pPr>
        <w:spacing w:after="20"/>
        <w:ind w:left="360"/>
      </w:pPr>
      <w:r>
        <w:rPr>
          <w:sz w:val="20"/>
          <w:szCs w:val="20"/>
        </w:rPr>
        <w:t xml:space="preserve">D. Rs. 1 crore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5. The tick size for IRF is:</w:t>
      </w:r>
    </w:p>
    <w:p>
      <w:pPr>
        <w:spacing w:after="20"/>
        <w:ind w:left="360"/>
      </w:pPr>
      <w:r>
        <w:rPr>
          <w:sz w:val="20"/>
          <w:szCs w:val="20"/>
        </w:rPr>
        <w:t xml:space="preserve">A. Rs. 0.01</w:t>
      </w:r>
    </w:p>
    <w:p>
      <w:pPr>
        <w:spacing w:after="20"/>
        <w:ind w:left="360"/>
      </w:pPr>
      <w:r>
        <w:rPr>
          <w:sz w:val="20"/>
          <w:szCs w:val="20"/>
        </w:rPr>
        <w:t xml:space="preserve">B. Rs. 0.0025</w:t>
      </w:r>
    </w:p>
    <w:p>
      <w:pPr>
        <w:spacing w:after="20"/>
        <w:ind w:left="360"/>
      </w:pPr>
      <w:r>
        <w:rPr>
          <w:sz w:val="20"/>
          <w:szCs w:val="20"/>
        </w:rPr>
        <w:t xml:space="preserve">C. Rs. 1.00</w:t>
      </w:r>
    </w:p>
    <w:p>
      <w:pPr>
        <w:spacing w:after="20"/>
        <w:ind w:left="360"/>
      </w:pPr>
      <w:r>
        <w:rPr>
          <w:sz w:val="20"/>
          <w:szCs w:val="20"/>
        </w:rPr>
        <w:t xml:space="preserve">D. Rs. 0.10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6. IRF contracts on GOI securities are settled:</w:t>
      </w:r>
    </w:p>
    <w:p>
      <w:pPr>
        <w:spacing w:after="20"/>
        <w:ind w:left="360"/>
      </w:pPr>
      <w:r>
        <w:rPr>
          <w:sz w:val="20"/>
          <w:szCs w:val="20"/>
        </w:rPr>
        <w:t xml:space="preserve">A. Through physical delivery</w:t>
      </w:r>
    </w:p>
    <w:p>
      <w:pPr>
        <w:spacing w:after="20"/>
        <w:ind w:left="360"/>
      </w:pPr>
      <w:r>
        <w:rPr>
          <w:sz w:val="20"/>
          <w:szCs w:val="20"/>
        </w:rPr>
        <w:t xml:space="preserve">B. In cash</w:t>
      </w:r>
    </w:p>
    <w:p>
      <w:pPr>
        <w:spacing w:after="20"/>
        <w:ind w:left="360"/>
      </w:pPr>
      <w:r>
        <w:rPr>
          <w:sz w:val="20"/>
          <w:szCs w:val="20"/>
        </w:rPr>
        <w:t xml:space="preserve">C. Partly cash, partly bond</w:t>
      </w:r>
    </w:p>
    <w:p>
      <w:pPr>
        <w:spacing w:after="20"/>
        <w:ind w:left="360"/>
      </w:pPr>
      <w:r>
        <w:rPr>
          <w:sz w:val="20"/>
          <w:szCs w:val="20"/>
        </w:rPr>
        <w:t xml:space="preserve">D. Never settled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7. The expiry day for IRF is typically:</w:t>
      </w:r>
    </w:p>
    <w:p>
      <w:pPr>
        <w:spacing w:after="20"/>
        <w:ind w:left="360"/>
      </w:pPr>
      <w:r>
        <w:rPr>
          <w:sz w:val="20"/>
          <w:szCs w:val="20"/>
        </w:rPr>
        <w:t xml:space="preserve">A. First Monday</w:t>
      </w:r>
    </w:p>
    <w:p>
      <w:pPr>
        <w:spacing w:after="20"/>
        <w:ind w:left="360"/>
      </w:pPr>
      <w:r>
        <w:rPr>
          <w:sz w:val="20"/>
          <w:szCs w:val="20"/>
        </w:rPr>
        <w:t xml:space="preserve">B. Last Thursday</w:t>
      </w:r>
    </w:p>
    <w:p>
      <w:pPr>
        <w:spacing w:after="20"/>
        <w:ind w:left="360"/>
      </w:pPr>
      <w:r>
        <w:rPr>
          <w:sz w:val="20"/>
          <w:szCs w:val="20"/>
        </w:rPr>
        <w:t xml:space="preserve">C. 15th of the month</w:t>
      </w:r>
    </w:p>
    <w:p>
      <w:pPr>
        <w:spacing w:after="20"/>
        <w:ind w:left="360"/>
      </w:pPr>
      <w:r>
        <w:rPr>
          <w:sz w:val="20"/>
          <w:szCs w:val="20"/>
        </w:rPr>
        <w:t xml:space="preserve">D. Random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8. A bond portfolio manager expecting rates to RISE would hedge by:</w:t>
      </w:r>
    </w:p>
    <w:p>
      <w:pPr>
        <w:spacing w:after="20"/>
        <w:ind w:left="360"/>
      </w:pPr>
      <w:r>
        <w:rPr>
          <w:sz w:val="20"/>
          <w:szCs w:val="20"/>
        </w:rPr>
        <w:t xml:space="preserve">A. Buying more long-duration bonds</w:t>
      </w:r>
    </w:p>
    <w:p>
      <w:pPr>
        <w:spacing w:after="20"/>
        <w:ind w:left="360"/>
      </w:pPr>
      <w:r>
        <w:rPr>
          <w:sz w:val="20"/>
          <w:szCs w:val="20"/>
        </w:rPr>
        <w:t xml:space="preserve">B. Selling (shorting) interest rate futures</w:t>
      </w:r>
    </w:p>
    <w:p>
      <w:pPr>
        <w:spacing w:after="20"/>
        <w:ind w:left="360"/>
      </w:pPr>
      <w:r>
        <w:rPr>
          <w:sz w:val="20"/>
          <w:szCs w:val="20"/>
        </w:rPr>
        <w:t xml:space="preserve">C. Buying interest rate futures</w:t>
      </w:r>
    </w:p>
    <w:p>
      <w:pPr>
        <w:spacing w:after="20"/>
        <w:ind w:left="360"/>
      </w:pPr>
      <w:r>
        <w:rPr>
          <w:sz w:val="20"/>
          <w:szCs w:val="20"/>
        </w:rPr>
        <w:t xml:space="preserve">D. Doing nothing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9. 'Basis risk' in IRF hedging refers to:</w:t>
      </w:r>
    </w:p>
    <w:p>
      <w:pPr>
        <w:spacing w:after="20"/>
        <w:ind w:left="360"/>
      </w:pPr>
      <w:r>
        <w:rPr>
          <w:sz w:val="20"/>
          <w:szCs w:val="20"/>
        </w:rPr>
        <w:t xml:space="preserve">A. Imperfect match between the futures' underlying and the actual bond held</w:t>
      </w:r>
    </w:p>
    <w:p>
      <w:pPr>
        <w:spacing w:after="20"/>
        <w:ind w:left="360"/>
      </w:pPr>
      <w:r>
        <w:rPr>
          <w:sz w:val="20"/>
          <w:szCs w:val="20"/>
        </w:rPr>
        <w:t xml:space="preserve">B. Currency risk</w:t>
      </w:r>
    </w:p>
    <w:p>
      <w:pPr>
        <w:spacing w:after="20"/>
        <w:ind w:left="360"/>
      </w:pPr>
      <w:r>
        <w:rPr>
          <w:sz w:val="20"/>
          <w:szCs w:val="20"/>
        </w:rPr>
        <w:t xml:space="preserve">C. Equity market risk</w:t>
      </w:r>
    </w:p>
    <w:p>
      <w:pPr>
        <w:spacing w:after="20"/>
        <w:ind w:left="360"/>
      </w:pPr>
      <w:r>
        <w:rPr>
          <w:sz w:val="20"/>
          <w:szCs w:val="20"/>
        </w:rPr>
        <w:t xml:space="preserve">D. A risk unique to options</w:t>
      </w:r>
    </w:p>
    <w:p>
      <w:pPr>
        <w:spacing w:after="60" w:before="160"/>
      </w:pPr>
      <w:r>
        <w:rPr>
          <w:b/>
          <w:bCs/>
          <w:sz w:val="21"/>
          <w:szCs w:val="21"/>
        </w:rPr>
        <w:t xml:space="preserve">10. IRO Greeks (Delta, Gamma, Theta, Vega):</w:t>
      </w:r>
    </w:p>
    <w:p>
      <w:pPr>
        <w:spacing w:after="20"/>
        <w:ind w:left="360"/>
      </w:pPr>
      <w:r>
        <w:rPr>
          <w:sz w:val="20"/>
          <w:szCs w:val="20"/>
        </w:rPr>
        <w:t xml:space="preserve">A. Don't apply to interest rate options</w:t>
      </w:r>
    </w:p>
    <w:p>
      <w:pPr>
        <w:spacing w:after="20"/>
        <w:ind w:left="360"/>
      </w:pPr>
      <w:r>
        <w:rPr>
          <w:sz w:val="20"/>
          <w:szCs w:val="20"/>
        </w:rPr>
        <w:t xml:space="preserve">B. Apply the same conceptual way as equity options</w:t>
      </w:r>
    </w:p>
    <w:p>
      <w:pPr>
        <w:spacing w:after="20"/>
        <w:ind w:left="360"/>
      </w:pPr>
      <w:r>
        <w:rPr>
          <w:sz w:val="20"/>
          <w:szCs w:val="20"/>
        </w:rPr>
        <w:t xml:space="preserve">C. Only Delta applies</w:t>
      </w:r>
    </w:p>
    <w:p>
      <w:pPr>
        <w:spacing w:after="20"/>
        <w:ind w:left="360"/>
      </w:pPr>
      <w:r>
        <w:rPr>
          <w:sz w:val="20"/>
          <w:szCs w:val="20"/>
        </w:rPr>
        <w:t xml:space="preserve">D. Only apply to currency options</w:t>
      </w:r>
    </w:p>
    <w:p>
      <w:pPr>
        <w:spacing w:after="100" w:before="300"/>
      </w:pPr>
      <w:r>
        <w:rPr>
          <w:b/>
          <w:bCs/>
          <w:color w:val="0D7A6E"/>
          <w:sz w:val="24"/>
          <w:szCs w:val="24"/>
        </w:rPr>
        <w:t xml:space="preserve">Answer key</w:t>
      </w:r>
    </w:p>
    <w:p>
      <w:pPr>
        <w:shd w:fill="E4F4F1" w:val="clear"/>
        <w:spacing w:after="300"/>
      </w:pPr>
      <w:r>
        <w:rPr>
          <w:color w:val="0A4C44"/>
          <w:sz w:val="20"/>
          <w:szCs w:val="20"/>
        </w:rPr>
        <w:t xml:space="preserve">1-B   2-B   3-B   4-B   5-B   6-B   7-B   8-B   9-A   10-B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2026-10-03T03:13:34.881Z</dcterms:created>
  <dcterms:modified xsi:type="dcterms:W3CDTF">2026-10-03T03:13:34.888Z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