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</w:p>
    <w:p>
      <w:pPr>
        <w:jc w:val="center"/>
      </w:pPr>
      <w:r>
        <w:rPr>
          <w:b/>
          <w:bCs/>
          <w:color w:val="152A4D"/>
          <w:sz w:val="56"/>
          <w:szCs w:val="56"/>
        </w:rPr>
        <w:t xml:space="preserve">NISM-Series-XXI-A</w:t>
      </w:r>
    </w:p>
    <w:p>
      <w:pPr>
        <w:spacing w:after="400" w:before="200"/>
        <w:jc w:val="center"/>
      </w:pPr>
      <w:r>
        <w:rPr>
          <w:color w:val="4B5768"/>
          <w:sz w:val="32"/>
          <w:szCs w:val="32"/>
        </w:rPr>
        <w:t xml:space="preserve">Portfolio Management Services (PMS) Distributors</w:t>
      </w:r>
    </w:p>
    <w:p>
      <w:pPr>
        <w:spacing w:after="600"/>
        <w:jc w:val="center"/>
      </w:pPr>
      <w:r>
        <w:rPr>
          <w:b/>
          <w:bCs/>
          <w:color w:val="0D7A6E"/>
          <w:sz w:val="40"/>
          <w:szCs w:val="40"/>
        </w:rPr>
        <w:t xml:space="preserve">Practice Worksheets</w:t>
      </w:r>
    </w:p>
    <w:p>
      <w:pPr>
        <w:spacing w:after="200"/>
        <w:jc w:val="center"/>
      </w:pPr>
      <w:r>
        <w:rPr>
          <w:color w:val="4B5768"/>
          <w:sz w:val="22"/>
          <w:szCs w:val="22"/>
        </w:rPr>
        <w:t xml:space="preserve">4 worksheets covering all 12 syllabus chapters · 42 practice questions with a full answer key</w:t>
      </w:r>
    </w:p>
    <w:p>
      <w:pPr>
        <w:spacing w:after="2000"/>
        <w:jc w:val="center"/>
      </w:pPr>
      <w:r>
        <w:rPr>
          <w:i/>
          <w:iCs/>
          <w:color w:val="7A8294"/>
          <w:sz w:val="18"/>
          <w:szCs w:val="18"/>
        </w:rPr>
        <w:t xml:space="preserve">Free, original study material from nismready.com — not an official NISM product.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1 — Investments, Securities Markets &amp; Investing in Stocks (Ch. 1–3, 22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This worksheet covers the foundational chapters: what investment is, how securities markets are structured, and how equity is valued and selected.</w:t>
      </w:r>
    </w:p>
    <w:p>
      <w:pPr>
        <w:spacing w:after="160"/>
      </w:pPr>
      <w:r>
        <w:rPr>
          <w:sz w:val="21"/>
          <w:szCs w:val="21"/>
        </w:rPr>
        <w:t xml:space="preserve">Investment objectives include capital preservation (risk-averse/short-term), capital appreciation (long-term growth), current income (regular payouts), and tax saving. The required rate of return is shaped by the investor's risk appetite.</w:t>
      </w:r>
    </w:p>
    <w:p>
      <w:pPr>
        <w:spacing w:after="160"/>
      </w:pPr>
      <w:r>
        <w:rPr>
          <w:sz w:val="21"/>
          <w:szCs w:val="21"/>
        </w:rPr>
        <w:t xml:space="preserve">The primary market issues new securities; the secondary market trades existing ones. Equity investing involves both systematic risk (market-wide) and unsystematic risk (company-specific, reducible via diversification). Stocks are selected via fundamental research (intrinsic value estimation) or technical analysis (price/volume charts).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Primary market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New securities issued (IPO, FPO)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Secondary market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Existing securities trade between investors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Systematic risk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Market-wide; cannot be diversified away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Unsystematic risk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Company-specific; reduced via diversification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Technical analysis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Studies price charts and volume, not fundamentals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Saving is the difference between:</w:t>
      </w:r>
    </w:p>
    <w:p>
      <w:pPr>
        <w:spacing w:after="20"/>
        <w:ind w:left="360"/>
      </w:pPr>
      <w:r>
        <w:rPr>
          <w:sz w:val="20"/>
          <w:szCs w:val="20"/>
        </w:rPr>
        <w:t xml:space="preserve">A. Risk and return</w:t>
      </w:r>
    </w:p>
    <w:p>
      <w:pPr>
        <w:spacing w:after="20"/>
        <w:ind w:left="360"/>
      </w:pPr>
      <w:r>
        <w:rPr>
          <w:sz w:val="20"/>
          <w:szCs w:val="20"/>
        </w:rPr>
        <w:t xml:space="preserve">B. Money earned and money spent</w:t>
      </w:r>
    </w:p>
    <w:p>
      <w:pPr>
        <w:spacing w:after="20"/>
        <w:ind w:left="360"/>
      </w:pPr>
      <w:r>
        <w:rPr>
          <w:sz w:val="20"/>
          <w:szCs w:val="20"/>
        </w:rPr>
        <w:t xml:space="preserve">C. Assets and liabilities</w:t>
      </w:r>
    </w:p>
    <w:p>
      <w:pPr>
        <w:spacing w:after="20"/>
        <w:ind w:left="360"/>
      </w:pPr>
      <w:r>
        <w:rPr>
          <w:sz w:val="20"/>
          <w:szCs w:val="20"/>
        </w:rPr>
        <w:t xml:space="preserve">D. Equity and debt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Capital preservation as an objective is typically pursued by:</w:t>
      </w:r>
    </w:p>
    <w:p>
      <w:pPr>
        <w:spacing w:after="20"/>
        <w:ind w:left="360"/>
      </w:pPr>
      <w:r>
        <w:rPr>
          <w:sz w:val="20"/>
          <w:szCs w:val="20"/>
        </w:rPr>
        <w:t xml:space="preserve">A. Highly risk-seeking investors</w:t>
      </w:r>
    </w:p>
    <w:p>
      <w:pPr>
        <w:spacing w:after="20"/>
        <w:ind w:left="360"/>
      </w:pPr>
      <w:r>
        <w:rPr>
          <w:sz w:val="20"/>
          <w:szCs w:val="20"/>
        </w:rPr>
        <w:t xml:space="preserve">B. Highly risk-averse investors or those with short-term needs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institutional investors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derivative traders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Which is a 'real asset' rather than a 'financial asset'?</w:t>
      </w:r>
    </w:p>
    <w:p>
      <w:pPr>
        <w:spacing w:after="20"/>
        <w:ind w:left="360"/>
      </w:pPr>
      <w:r>
        <w:rPr>
          <w:sz w:val="20"/>
          <w:szCs w:val="20"/>
        </w:rPr>
        <w:t xml:space="preserve">A. A bank fixed deposit</w:t>
      </w:r>
    </w:p>
    <w:p>
      <w:pPr>
        <w:spacing w:after="20"/>
        <w:ind w:left="360"/>
      </w:pPr>
      <w:r>
        <w:rPr>
          <w:sz w:val="20"/>
          <w:szCs w:val="20"/>
        </w:rPr>
        <w:t xml:space="preserve">B. A mutual fund unit</w:t>
      </w:r>
    </w:p>
    <w:p>
      <w:pPr>
        <w:spacing w:after="20"/>
        <w:ind w:left="360"/>
      </w:pPr>
      <w:r>
        <w:rPr>
          <w:sz w:val="20"/>
          <w:szCs w:val="20"/>
        </w:rPr>
        <w:t xml:space="preserve">C. Gold / real estate</w:t>
      </w:r>
    </w:p>
    <w:p>
      <w:pPr>
        <w:spacing w:after="20"/>
        <w:ind w:left="360"/>
      </w:pPr>
      <w:r>
        <w:rPr>
          <w:sz w:val="20"/>
          <w:szCs w:val="20"/>
        </w:rPr>
        <w:t xml:space="preserve">D. A government bond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Who is India's primary securities markets regulator?</w:t>
      </w:r>
    </w:p>
    <w:p>
      <w:pPr>
        <w:spacing w:after="20"/>
        <w:ind w:left="360"/>
      </w:pPr>
      <w:r>
        <w:rPr>
          <w:sz w:val="20"/>
          <w:szCs w:val="20"/>
        </w:rPr>
        <w:t xml:space="preserve">A. RBI</w:t>
      </w:r>
    </w:p>
    <w:p>
      <w:pPr>
        <w:spacing w:after="20"/>
        <w:ind w:left="360"/>
      </w:pPr>
      <w:r>
        <w:rPr>
          <w:sz w:val="20"/>
          <w:szCs w:val="20"/>
        </w:rPr>
        <w:t xml:space="preserve">B. SEBI</w:t>
      </w:r>
    </w:p>
    <w:p>
      <w:pPr>
        <w:spacing w:after="20"/>
        <w:ind w:left="360"/>
      </w:pPr>
      <w:r>
        <w:rPr>
          <w:sz w:val="20"/>
          <w:szCs w:val="20"/>
        </w:rPr>
        <w:t xml:space="preserve">C. IRDAI</w:t>
      </w:r>
    </w:p>
    <w:p>
      <w:pPr>
        <w:spacing w:after="20"/>
        <w:ind w:left="360"/>
      </w:pPr>
      <w:r>
        <w:rPr>
          <w:sz w:val="20"/>
          <w:szCs w:val="20"/>
        </w:rPr>
        <w:t xml:space="preserve">D. PFRDA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An IPO occurs in the:</w:t>
      </w:r>
    </w:p>
    <w:p>
      <w:pPr>
        <w:spacing w:after="20"/>
        <w:ind w:left="360"/>
      </w:pPr>
      <w:r>
        <w:rPr>
          <w:sz w:val="20"/>
          <w:szCs w:val="20"/>
        </w:rPr>
        <w:t xml:space="preserve">A. Secondary market</w:t>
      </w:r>
    </w:p>
    <w:p>
      <w:pPr>
        <w:spacing w:after="20"/>
        <w:ind w:left="360"/>
      </w:pPr>
      <w:r>
        <w:rPr>
          <w:sz w:val="20"/>
          <w:szCs w:val="20"/>
        </w:rPr>
        <w:t xml:space="preserve">B. Primary market</w:t>
      </w:r>
    </w:p>
    <w:p>
      <w:pPr>
        <w:spacing w:after="20"/>
        <w:ind w:left="360"/>
      </w:pPr>
      <w:r>
        <w:rPr>
          <w:sz w:val="20"/>
          <w:szCs w:val="20"/>
        </w:rPr>
        <w:t xml:space="preserve">C. Derivatives market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Money market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Unsystematic risk can be reduced through:</w:t>
      </w:r>
    </w:p>
    <w:p>
      <w:pPr>
        <w:spacing w:after="20"/>
        <w:ind w:left="360"/>
      </w:pPr>
      <w:r>
        <w:rPr>
          <w:sz w:val="20"/>
          <w:szCs w:val="20"/>
        </w:rPr>
        <w:t xml:space="preserve">A. Market-wide hedging only</w:t>
      </w:r>
    </w:p>
    <w:p>
      <w:pPr>
        <w:spacing w:after="20"/>
        <w:ind w:left="360"/>
      </w:pPr>
      <w:r>
        <w:rPr>
          <w:sz w:val="20"/>
          <w:szCs w:val="20"/>
        </w:rPr>
        <w:t xml:space="preserve">B. Diversification across many securities</w:t>
      </w:r>
    </w:p>
    <w:p>
      <w:pPr>
        <w:spacing w:after="20"/>
        <w:ind w:left="360"/>
      </w:pPr>
      <w:r>
        <w:rPr>
          <w:sz w:val="20"/>
          <w:szCs w:val="20"/>
        </w:rPr>
        <w:t xml:space="preserve">C. Avoiding equity entirely</w:t>
      </w:r>
    </w:p>
    <w:p>
      <w:pPr>
        <w:spacing w:after="20"/>
        <w:ind w:left="360"/>
      </w:pPr>
      <w:r>
        <w:rPr>
          <w:sz w:val="20"/>
          <w:szCs w:val="20"/>
        </w:rPr>
        <w:t xml:space="preserve">D. Increasing leverage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Estimating a stock's intrinsic value through financial analysis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Technical analysis</w:t>
      </w:r>
    </w:p>
    <w:p>
      <w:pPr>
        <w:spacing w:after="20"/>
        <w:ind w:left="360"/>
      </w:pPr>
      <w:r>
        <w:rPr>
          <w:sz w:val="20"/>
          <w:szCs w:val="20"/>
        </w:rPr>
        <w:t xml:space="preserve">B. Equity research / fundamental analysis</w:t>
      </w:r>
    </w:p>
    <w:p>
      <w:pPr>
        <w:spacing w:after="20"/>
        <w:ind w:left="360"/>
      </w:pPr>
      <w:r>
        <w:rPr>
          <w:sz w:val="20"/>
          <w:szCs w:val="20"/>
        </w:rPr>
        <w:t xml:space="preserve">C. Pure speculation</w:t>
      </w:r>
    </w:p>
    <w:p>
      <w:pPr>
        <w:spacing w:after="20"/>
        <w:ind w:left="360"/>
      </w:pPr>
      <w:r>
        <w:rPr>
          <w:sz w:val="20"/>
          <w:szCs w:val="20"/>
        </w:rPr>
        <w:t xml:space="preserve">D. Currency trading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Technical analysis primarily studies:</w:t>
      </w:r>
    </w:p>
    <w:p>
      <w:pPr>
        <w:spacing w:after="20"/>
        <w:ind w:left="360"/>
      </w:pPr>
      <w:r>
        <w:rPr>
          <w:sz w:val="20"/>
          <w:szCs w:val="20"/>
        </w:rPr>
        <w:t xml:space="preserve">A. Company financial statements</w:t>
      </w:r>
    </w:p>
    <w:p>
      <w:pPr>
        <w:spacing w:after="20"/>
        <w:ind w:left="360"/>
      </w:pPr>
      <w:r>
        <w:rPr>
          <w:sz w:val="20"/>
          <w:szCs w:val="20"/>
        </w:rPr>
        <w:t xml:space="preserve">B. Price charts and trading volume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GDP data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board composition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If estimated intrinsic value is HIGHER than market price, the stock is generally considered:</w:t>
      </w:r>
    </w:p>
    <w:p>
      <w:pPr>
        <w:spacing w:after="20"/>
        <w:ind w:left="360"/>
      </w:pPr>
      <w:r>
        <w:rPr>
          <w:sz w:val="20"/>
          <w:szCs w:val="20"/>
        </w:rPr>
        <w:t xml:space="preserve">A. Overvalued</w:t>
      </w:r>
    </w:p>
    <w:p>
      <w:pPr>
        <w:spacing w:after="20"/>
        <w:ind w:left="360"/>
      </w:pPr>
      <w:r>
        <w:rPr>
          <w:sz w:val="20"/>
          <w:szCs w:val="20"/>
        </w:rPr>
        <w:t xml:space="preserve">B. Undervalued</w:t>
      </w:r>
    </w:p>
    <w:p>
      <w:pPr>
        <w:spacing w:after="20"/>
        <w:ind w:left="360"/>
      </w:pPr>
      <w:r>
        <w:rPr>
          <w:sz w:val="20"/>
          <w:szCs w:val="20"/>
        </w:rPr>
        <w:t xml:space="preserve">C. Correctly priced</w:t>
      </w:r>
    </w:p>
    <w:p>
      <w:pPr>
        <w:spacing w:after="20"/>
        <w:ind w:left="360"/>
      </w:pPr>
      <w:r>
        <w:rPr>
          <w:sz w:val="20"/>
          <w:szCs w:val="20"/>
        </w:rPr>
        <w:t xml:space="preserve">D. Impossible to evaluate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A limitation of pure technical analysis is that it:</w:t>
      </w:r>
    </w:p>
    <w:p>
      <w:pPr>
        <w:spacing w:after="20"/>
        <w:ind w:left="360"/>
      </w:pPr>
      <w:r>
        <w:rPr>
          <w:sz w:val="20"/>
          <w:szCs w:val="20"/>
        </w:rPr>
        <w:t xml:space="preserve">A. Ignores underlying business fundamentals</w:t>
      </w:r>
    </w:p>
    <w:p>
      <w:pPr>
        <w:spacing w:after="20"/>
        <w:ind w:left="360"/>
      </w:pPr>
      <w:r>
        <w:rPr>
          <w:sz w:val="20"/>
          <w:szCs w:val="20"/>
        </w:rPr>
        <w:t xml:space="preserve">B. Guarantees a profit</w:t>
      </w:r>
    </w:p>
    <w:p>
      <w:pPr>
        <w:spacing w:after="20"/>
        <w:ind w:left="360"/>
      </w:pPr>
      <w:r>
        <w:rPr>
          <w:sz w:val="20"/>
          <w:szCs w:val="20"/>
        </w:rPr>
        <w:t xml:space="preserve">C. Requires no historical data</w:t>
      </w:r>
    </w:p>
    <w:p>
      <w:pPr>
        <w:spacing w:after="20"/>
        <w:ind w:left="360"/>
      </w:pPr>
      <w:r>
        <w:rPr>
          <w:sz w:val="20"/>
          <w:szCs w:val="20"/>
        </w:rPr>
        <w:t xml:space="preserve">D. Cannot be used for any security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3-C   4-B   5-B   6-B   7-B   8-B   9-B   10-A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2 — Fixed Income, Derivatives &amp; Collective Investment Vehicles (Ch. 4–6, 15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Bond prices move inversely to interest rates. Macaulay Duration measures the time to recover an investment in present-value terms; Modified Duration estimates the percentage price change for a given rate change.</w:t>
      </w:r>
    </w:p>
    <w:p>
      <w:pPr>
        <w:spacing w:after="160"/>
      </w:pPr>
      <w:r>
        <w:rPr>
          <w:sz w:val="21"/>
          <w:szCs w:val="21"/>
        </w:rPr>
        <w:t xml:space="preserve">Derivatives (forwards, futures, options, swaps) serve hedging, speculation, or arbitrage purposes. Within PMS, derivatives are typically used within SEBI limits, often for hedging.</w:t>
      </w:r>
    </w:p>
    <w:p>
      <w:pPr>
        <w:spacing w:after="160"/>
      </w:pPr>
      <w:r>
        <w:rPr>
          <w:sz w:val="21"/>
          <w:szCs w:val="21"/>
        </w:rPr>
        <w:t xml:space="preserve">Collective investment vehicles include mutual funds (trusts), REITs (real estate), InvITs (infrastructure), and AIFs (Categories I/II/III, for sophisticated investors) — all alternatives a PMS distributor should be able to position PMS against.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Bond price vs. interest rates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Move inversely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Macaulay Duration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Time (years) to recover investment in PV terms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Modified Duration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Estimates % price change per rate change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Hedging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Reduces existing risk exposure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AIF Category III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Complex, leveraged, hedge-fund-like strategies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A bond's price and interest rates generally move:</w:t>
      </w:r>
    </w:p>
    <w:p>
      <w:pPr>
        <w:spacing w:after="20"/>
        <w:ind w:left="360"/>
      </w:pPr>
      <w:r>
        <w:rPr>
          <w:sz w:val="20"/>
          <w:szCs w:val="20"/>
        </w:rPr>
        <w:t xml:space="preserve">A. In the same direction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In opposite directions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With no relationship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with equity prices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Macaulay Duration measures:</w:t>
      </w:r>
    </w:p>
    <w:p>
      <w:pPr>
        <w:spacing w:after="20"/>
        <w:ind w:left="360"/>
      </w:pPr>
      <w:r>
        <w:rPr>
          <w:sz w:val="20"/>
          <w:szCs w:val="20"/>
        </w:rPr>
        <w:t xml:space="preserve">A. The bond's face value</w:t>
      </w:r>
    </w:p>
    <w:p>
      <w:pPr>
        <w:spacing w:after="20"/>
        <w:ind w:left="360"/>
      </w:pPr>
      <w:r>
        <w:rPr>
          <w:sz w:val="20"/>
          <w:szCs w:val="20"/>
        </w:rPr>
        <w:t xml:space="preserve">B. Time to recover the investment in present-value terms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credit rating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Trading volume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A bond with HIGHER duration experiences, for the same rate change:</w:t>
      </w:r>
    </w:p>
    <w:p>
      <w:pPr>
        <w:spacing w:after="20"/>
        <w:ind w:left="360"/>
      </w:pPr>
      <w:r>
        <w:rPr>
          <w:sz w:val="20"/>
          <w:szCs w:val="20"/>
        </w:rPr>
        <w:t xml:space="preserve">A. Smaller price movement</w:t>
      </w:r>
    </w:p>
    <w:p>
      <w:pPr>
        <w:spacing w:after="20"/>
        <w:ind w:left="360"/>
      </w:pPr>
      <w:r>
        <w:rPr>
          <w:sz w:val="20"/>
          <w:szCs w:val="20"/>
        </w:rPr>
        <w:t xml:space="preserve">B. Larger price movement</w:t>
      </w:r>
    </w:p>
    <w:p>
      <w:pPr>
        <w:spacing w:after="20"/>
        <w:ind w:left="360"/>
      </w:pPr>
      <w:r>
        <w:rPr>
          <w:sz w:val="20"/>
          <w:szCs w:val="20"/>
        </w:rPr>
        <w:t xml:space="preserve">C. No price movement</w:t>
      </w:r>
    </w:p>
    <w:p>
      <w:pPr>
        <w:spacing w:after="20"/>
        <w:ind w:left="360"/>
      </w:pPr>
      <w:r>
        <w:rPr>
          <w:sz w:val="20"/>
          <w:szCs w:val="20"/>
        </w:rPr>
        <w:t xml:space="preserve">D. Movement unrelated to duration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Using a derivative to reduce existing risk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Speculation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Hedging</w:t>
      </w:r>
    </w:p>
    <w:p>
      <w:pPr>
        <w:spacing w:after="20"/>
        <w:ind w:left="360"/>
      </w:pPr>
      <w:r>
        <w:rPr>
          <w:sz w:val="20"/>
          <w:szCs w:val="20"/>
        </w:rPr>
        <w:t xml:space="preserve">C. Arbitrage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Insider trading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Within PMS, derivatives are typically used:</w:t>
      </w:r>
    </w:p>
    <w:p>
      <w:pPr>
        <w:spacing w:after="20"/>
        <w:ind w:left="360"/>
      </w:pPr>
      <w:r>
        <w:rPr>
          <w:sz w:val="20"/>
          <w:szCs w:val="20"/>
        </w:rPr>
        <w:t xml:space="preserve">A. For unrestricted speculation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Within SEBI-permitted limits, often for hedging</w:t>
      </w:r>
    </w:p>
    <w:p>
      <w:pPr>
        <w:spacing w:after="20"/>
        <w:ind w:left="360"/>
      </w:pPr>
      <w:r>
        <w:rPr>
          <w:sz w:val="20"/>
          <w:szCs w:val="20"/>
        </w:rPr>
        <w:t xml:space="preserve">C. Never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for currency conversion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Mutual funds in India are legally structured as:</w:t>
      </w:r>
    </w:p>
    <w:p>
      <w:pPr>
        <w:spacing w:after="20"/>
        <w:ind w:left="360"/>
      </w:pPr>
      <w:r>
        <w:rPr>
          <w:sz w:val="20"/>
          <w:szCs w:val="20"/>
        </w:rPr>
        <w:t xml:space="preserve">A. Companies</w:t>
      </w:r>
    </w:p>
    <w:p>
      <w:pPr>
        <w:spacing w:after="20"/>
        <w:ind w:left="360"/>
      </w:pPr>
      <w:r>
        <w:rPr>
          <w:sz w:val="20"/>
          <w:szCs w:val="20"/>
        </w:rPr>
        <w:t xml:space="preserve">B. Trusts</w:t>
      </w:r>
    </w:p>
    <w:p>
      <w:pPr>
        <w:spacing w:after="20"/>
        <w:ind w:left="360"/>
      </w:pPr>
      <w:r>
        <w:rPr>
          <w:sz w:val="20"/>
          <w:szCs w:val="20"/>
        </w:rPr>
        <w:t xml:space="preserve">C. Partnerships</w:t>
      </w:r>
    </w:p>
    <w:p>
      <w:pPr>
        <w:spacing w:after="20"/>
        <w:ind w:left="360"/>
      </w:pPr>
      <w:r>
        <w:rPr>
          <w:sz w:val="20"/>
          <w:szCs w:val="20"/>
        </w:rPr>
        <w:t xml:space="preserve">D. Sole proprietorships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REITs primarily let investors hold:</w:t>
      </w:r>
    </w:p>
    <w:p>
      <w:pPr>
        <w:spacing w:after="20"/>
        <w:ind w:left="360"/>
      </w:pPr>
      <w:r>
        <w:rPr>
          <w:sz w:val="20"/>
          <w:szCs w:val="20"/>
        </w:rPr>
        <w:t xml:space="preserve">A. Direct physical real estate only</w:t>
      </w:r>
    </w:p>
    <w:p>
      <w:pPr>
        <w:spacing w:after="20"/>
        <w:ind w:left="360"/>
      </w:pPr>
      <w:r>
        <w:rPr>
          <w:sz w:val="20"/>
          <w:szCs w:val="20"/>
        </w:rPr>
        <w:t xml:space="preserve">B. Income-generating real estate in small tradeable units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government bonds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derivatives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InvITs hold:</w:t>
      </w:r>
    </w:p>
    <w:p>
      <w:pPr>
        <w:spacing w:after="20"/>
        <w:ind w:left="360"/>
      </w:pPr>
      <w:r>
        <w:rPr>
          <w:sz w:val="20"/>
          <w:szCs w:val="20"/>
        </w:rPr>
        <w:t xml:space="preserve">A. Residential apartments only</w:t>
      </w:r>
    </w:p>
    <w:p>
      <w:pPr>
        <w:spacing w:after="20"/>
        <w:ind w:left="360"/>
      </w:pPr>
      <w:r>
        <w:rPr>
          <w:sz w:val="20"/>
          <w:szCs w:val="20"/>
        </w:rPr>
        <w:t xml:space="preserve">B. Infrastructure assets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gold reserves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foreign currency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Category III AIFs are broadly similar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Fixed deposits</w:t>
      </w:r>
    </w:p>
    <w:p>
      <w:pPr>
        <w:spacing w:after="20"/>
        <w:ind w:left="360"/>
      </w:pPr>
      <w:r>
        <w:rPr>
          <w:sz w:val="20"/>
          <w:szCs w:val="20"/>
        </w:rPr>
        <w:t xml:space="preserve">B. Hedge funds, using leverage/complex strategies</w:t>
      </w:r>
    </w:p>
    <w:p>
      <w:pPr>
        <w:spacing w:after="20"/>
        <w:ind w:left="360"/>
      </w:pPr>
      <w:r>
        <w:rPr>
          <w:sz w:val="20"/>
          <w:szCs w:val="20"/>
        </w:rPr>
        <w:t xml:space="preserve">C. Savings accounts</w:t>
      </w:r>
    </w:p>
    <w:p>
      <w:pPr>
        <w:spacing w:after="20"/>
        <w:ind w:left="360"/>
      </w:pPr>
      <w:r>
        <w:rPr>
          <w:sz w:val="20"/>
          <w:szCs w:val="20"/>
        </w:rPr>
        <w:t xml:space="preserve">D. Government bonds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Compared to a mutual fund, PMS holdings are:</w:t>
      </w:r>
    </w:p>
    <w:p>
      <w:pPr>
        <w:spacing w:after="20"/>
        <w:ind w:left="360"/>
      </w:pPr>
      <w:r>
        <w:rPr>
          <w:sz w:val="20"/>
          <w:szCs w:val="20"/>
        </w:rPr>
        <w:t xml:space="preserve">A. Pooled anonymously</w:t>
      </w:r>
    </w:p>
    <w:p>
      <w:pPr>
        <w:spacing w:after="20"/>
        <w:ind w:left="360"/>
      </w:pPr>
      <w:r>
        <w:rPr>
          <w:sz w:val="20"/>
          <w:szCs w:val="20"/>
        </w:rPr>
        <w:t xml:space="preserve">B. Held directly in the client's own name</w:t>
      </w:r>
    </w:p>
    <w:p>
      <w:pPr>
        <w:spacing w:after="20"/>
        <w:ind w:left="360"/>
      </w:pPr>
      <w:r>
        <w:rPr>
          <w:sz w:val="20"/>
          <w:szCs w:val="20"/>
        </w:rPr>
        <w:t xml:space="preserve">C. Untraceable</w:t>
      </w:r>
    </w:p>
    <w:p>
      <w:pPr>
        <w:spacing w:after="20"/>
        <w:ind w:left="360"/>
      </w:pPr>
      <w:r>
        <w:rPr>
          <w:sz w:val="20"/>
          <w:szCs w:val="20"/>
        </w:rPr>
        <w:t xml:space="preserve">D. Always less regulated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3-B   4-B   5-B   6-B   7-B   8-B   9-B   10-B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3 — Role of Portfolio Managers, Operations &amp; Process (Ch. 7–9, 38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A portfolio manager cannot accept less than Rs. 50 lakh per client (with exceptions for accredited investors and co-investment PMs). Discretionary managers act independently; non-discretionary managers need client approval per transaction. Managers must act in a fiduciary capacity and never derive personal benefit from client funds.</w:t>
      </w:r>
    </w:p>
    <w:p>
      <w:pPr>
        <w:spacing w:after="160"/>
      </w:pPr>
      <w:r>
        <w:rPr>
          <w:sz w:val="21"/>
          <w:szCs w:val="21"/>
        </w:rPr>
        <w:t xml:space="preserve">No lock-in is permitted, but a scaled exit load applies: 3% (year 1), 2% (year 2), 1% (year 3), nil after. Performance fees are governed by the High Water Mark — charged only on gains above the portfolio's prior peak.</w:t>
      </w:r>
    </w:p>
    <w:p>
      <w:pPr>
        <w:spacing w:after="160"/>
      </w:pPr>
      <w:r>
        <w:rPr>
          <w:sz w:val="21"/>
          <w:szCs w:val="21"/>
        </w:rPr>
        <w:t xml:space="preserve">The portfolio management process starts with understanding the client's objectives and asset allocation, informed by correlation across asset classes, and includes periodic rebalancing back to target weights.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Minimum PMS investment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Rs. 50 lakh per client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Exit load, year 1 / 2 / 3 / after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3% / 2% / 1% / Nil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Lock-in on PMS investment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Not permitted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High Water Mark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Highest value reached; fee only on new gains above it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Heaviest chapter in the exam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Portfolio Management Process — 15 marks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A portfolio manager cannot accept funds worth less than:</w:t>
      </w:r>
    </w:p>
    <w:p>
      <w:pPr>
        <w:spacing w:after="20"/>
        <w:ind w:left="360"/>
      </w:pPr>
      <w:r>
        <w:rPr>
          <w:sz w:val="20"/>
          <w:szCs w:val="20"/>
        </w:rPr>
        <w:t xml:space="preserve">A. Rs. 5 lakh</w:t>
      </w:r>
    </w:p>
    <w:p>
      <w:pPr>
        <w:spacing w:after="20"/>
        <w:ind w:left="360"/>
      </w:pPr>
      <w:r>
        <w:rPr>
          <w:sz w:val="20"/>
          <w:szCs w:val="20"/>
        </w:rPr>
        <w:t xml:space="preserve">B. Rs. 50 lakh</w:t>
      </w:r>
    </w:p>
    <w:p>
      <w:pPr>
        <w:spacing w:after="20"/>
        <w:ind w:left="360"/>
      </w:pPr>
      <w:r>
        <w:rPr>
          <w:sz w:val="20"/>
          <w:szCs w:val="20"/>
        </w:rPr>
        <w:t xml:space="preserve">C. Rs. 5 crore</w:t>
      </w:r>
    </w:p>
    <w:p>
      <w:pPr>
        <w:spacing w:after="20"/>
        <w:ind w:left="360"/>
      </w:pPr>
      <w:r>
        <w:rPr>
          <w:sz w:val="20"/>
          <w:szCs w:val="20"/>
        </w:rPr>
        <w:t xml:space="preserve">D. Rs. 50 crore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In a discretionary PMS, decisions are:</w:t>
      </w:r>
    </w:p>
    <w:p>
      <w:pPr>
        <w:spacing w:after="20"/>
        <w:ind w:left="360"/>
      </w:pPr>
      <w:r>
        <w:rPr>
          <w:sz w:val="20"/>
          <w:szCs w:val="20"/>
        </w:rPr>
        <w:t xml:space="preserve">A. Approved by the client each time</w:t>
      </w:r>
    </w:p>
    <w:p>
      <w:pPr>
        <w:spacing w:after="20"/>
        <w:ind w:left="360"/>
      </w:pPr>
      <w:r>
        <w:rPr>
          <w:sz w:val="20"/>
          <w:szCs w:val="20"/>
        </w:rPr>
        <w:t xml:space="preserve">B. Made and executed by the manager independently</w:t>
      </w:r>
    </w:p>
    <w:p>
      <w:pPr>
        <w:spacing w:after="20"/>
        <w:ind w:left="360"/>
      </w:pPr>
      <w:r>
        <w:rPr>
          <w:sz w:val="20"/>
          <w:szCs w:val="20"/>
        </w:rPr>
        <w:t xml:space="preserve">C. Made solely by SEBI</w:t>
      </w:r>
    </w:p>
    <w:p>
      <w:pPr>
        <w:spacing w:after="20"/>
        <w:ind w:left="360"/>
      </w:pPr>
      <w:r>
        <w:rPr>
          <w:sz w:val="20"/>
          <w:szCs w:val="20"/>
        </w:rPr>
        <w:t xml:space="preserve">D. Not permitted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In a non-discretionary PMS, the manager:</w:t>
      </w:r>
    </w:p>
    <w:p>
      <w:pPr>
        <w:spacing w:after="20"/>
        <w:ind w:left="360"/>
      </w:pPr>
      <w:r>
        <w:rPr>
          <w:sz w:val="20"/>
          <w:szCs w:val="20"/>
        </w:rPr>
        <w:t xml:space="preserve">A. Acts independently</w:t>
      </w:r>
    </w:p>
    <w:p>
      <w:pPr>
        <w:spacing w:after="20"/>
        <w:ind w:left="360"/>
      </w:pPr>
      <w:r>
        <w:rPr>
          <w:sz w:val="20"/>
          <w:szCs w:val="20"/>
        </w:rPr>
        <w:t xml:space="preserve">B. Manages per the client's own directions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Is prohibited from managing funds</w:t>
      </w:r>
    </w:p>
    <w:p>
      <w:pPr>
        <w:spacing w:after="20"/>
        <w:ind w:left="360"/>
      </w:pPr>
      <w:r>
        <w:rPr>
          <w:sz w:val="20"/>
          <w:szCs w:val="20"/>
        </w:rPr>
        <w:t xml:space="preserve">D. Must be a mutual fund AMC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A portfolio manager must act in what capacity regarding client funds?</w:t>
      </w:r>
    </w:p>
    <w:p>
      <w:pPr>
        <w:spacing w:after="20"/>
        <w:ind w:left="360"/>
      </w:pPr>
      <w:r>
        <w:rPr>
          <w:sz w:val="20"/>
          <w:szCs w:val="20"/>
        </w:rPr>
        <w:t xml:space="preserve">A. Agent only</w:t>
      </w:r>
    </w:p>
    <w:p>
      <w:pPr>
        <w:spacing w:after="20"/>
        <w:ind w:left="360"/>
      </w:pPr>
      <w:r>
        <w:rPr>
          <w:sz w:val="20"/>
          <w:szCs w:val="20"/>
        </w:rPr>
        <w:t xml:space="preserve">B. Fiduciary capacity</w:t>
      </w:r>
    </w:p>
    <w:p>
      <w:pPr>
        <w:spacing w:after="20"/>
        <w:ind w:left="360"/>
      </w:pPr>
      <w:r>
        <w:rPr>
          <w:sz w:val="20"/>
          <w:szCs w:val="20"/>
        </w:rPr>
        <w:t xml:space="preserve">C. Competitor</w:t>
      </w:r>
    </w:p>
    <w:p>
      <w:pPr>
        <w:spacing w:after="20"/>
        <w:ind w:left="360"/>
      </w:pPr>
      <w:r>
        <w:rPr>
          <w:sz w:val="20"/>
          <w:szCs w:val="20"/>
        </w:rPr>
        <w:t xml:space="preserve">D. No specific duty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The maximum exit load in the FIRST year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1%</w:t>
      </w:r>
    </w:p>
    <w:p>
      <w:pPr>
        <w:spacing w:after="20"/>
        <w:ind w:left="360"/>
      </w:pPr>
      <w:r>
        <w:rPr>
          <w:sz w:val="20"/>
          <w:szCs w:val="20"/>
        </w:rPr>
        <w:t xml:space="preserve">B. 2%</w:t>
      </w:r>
    </w:p>
    <w:p>
      <w:pPr>
        <w:spacing w:after="20"/>
        <w:ind w:left="360"/>
      </w:pPr>
      <w:r>
        <w:rPr>
          <w:sz w:val="20"/>
          <w:szCs w:val="20"/>
        </w:rPr>
        <w:t xml:space="preserve">C. 3%</w:t>
      </w:r>
    </w:p>
    <w:p>
      <w:pPr>
        <w:spacing w:after="20"/>
        <w:ind w:left="360"/>
      </w:pPr>
      <w:r>
        <w:rPr>
          <w:sz w:val="20"/>
          <w:szCs w:val="20"/>
        </w:rPr>
        <w:t xml:space="preserve">D. 5%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After how many years can NO exit load be charged?</w:t>
      </w:r>
    </w:p>
    <w:p>
      <w:pPr>
        <w:spacing w:after="20"/>
        <w:ind w:left="360"/>
      </w:pPr>
      <w:r>
        <w:rPr>
          <w:sz w:val="20"/>
          <w:szCs w:val="20"/>
        </w:rPr>
        <w:t xml:space="preserve">A. 1</w:t>
      </w:r>
    </w:p>
    <w:p>
      <w:pPr>
        <w:spacing w:after="20"/>
        <w:ind w:left="360"/>
      </w:pPr>
      <w:r>
        <w:rPr>
          <w:sz w:val="20"/>
          <w:szCs w:val="20"/>
        </w:rPr>
        <w:t xml:space="preserve">B. 2</w:t>
      </w:r>
    </w:p>
    <w:p>
      <w:pPr>
        <w:spacing w:after="20"/>
        <w:ind w:left="360"/>
      </w:pPr>
      <w:r>
        <w:rPr>
          <w:sz w:val="20"/>
          <w:szCs w:val="20"/>
        </w:rPr>
        <w:t xml:space="preserve">C. 3</w:t>
      </w:r>
    </w:p>
    <w:p>
      <w:pPr>
        <w:spacing w:after="20"/>
        <w:ind w:left="360"/>
      </w:pPr>
      <w:r>
        <w:rPr>
          <w:sz w:val="20"/>
          <w:szCs w:val="20"/>
        </w:rPr>
        <w:t xml:space="preserve">D. 5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Can a portfolio manager impose a lock-in?</w:t>
      </w:r>
    </w:p>
    <w:p>
      <w:pPr>
        <w:spacing w:after="20"/>
        <w:ind w:left="360"/>
      </w:pPr>
      <w:r>
        <w:rPr>
          <w:sz w:val="20"/>
          <w:szCs w:val="20"/>
        </w:rPr>
        <w:t xml:space="preserve">A. Yes, up to 3 years</w:t>
      </w:r>
    </w:p>
    <w:p>
      <w:pPr>
        <w:spacing w:after="20"/>
        <w:ind w:left="360"/>
      </w:pPr>
      <w:r>
        <w:rPr>
          <w:sz w:val="20"/>
          <w:szCs w:val="20"/>
        </w:rPr>
        <w:t xml:space="preserve">B. No, not permitted; exit loads may apply instead</w:t>
      </w:r>
    </w:p>
    <w:p>
      <w:pPr>
        <w:spacing w:after="20"/>
        <w:ind w:left="360"/>
      </w:pPr>
      <w:r>
        <w:rPr>
          <w:sz w:val="20"/>
          <w:szCs w:val="20"/>
        </w:rPr>
        <w:t xml:space="preserve">C. Yes, up to 5 years</w:t>
      </w:r>
    </w:p>
    <w:p>
      <w:pPr>
        <w:spacing w:after="20"/>
        <w:ind w:left="360"/>
      </w:pPr>
      <w:r>
        <w:rPr>
          <w:sz w:val="20"/>
          <w:szCs w:val="20"/>
        </w:rPr>
        <w:t xml:space="preserve">D. Yes, with no limit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The High Water Mark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The lowest value ever reached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highest value ever reached, base for future performance fees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initial investment, forever</w:t>
      </w:r>
    </w:p>
    <w:p>
      <w:pPr>
        <w:spacing w:after="20"/>
        <w:ind w:left="360"/>
      </w:pPr>
      <w:r>
        <w:rPr>
          <w:sz w:val="20"/>
          <w:szCs w:val="20"/>
        </w:rPr>
        <w:t xml:space="preserve">D. The benchmark index level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A performance fee under HWM is charged:</w:t>
      </w:r>
    </w:p>
    <w:p>
      <w:pPr>
        <w:spacing w:after="20"/>
        <w:ind w:left="360"/>
      </w:pPr>
      <w:r>
        <w:rPr>
          <w:sz w:val="20"/>
          <w:szCs w:val="20"/>
        </w:rPr>
        <w:t xml:space="preserve">A. On any positive return each year</w:t>
      </w:r>
    </w:p>
    <w:p>
      <w:pPr>
        <w:spacing w:after="20"/>
        <w:ind w:left="360"/>
      </w:pPr>
      <w:r>
        <w:rPr>
          <w:sz w:val="20"/>
          <w:szCs w:val="20"/>
        </w:rPr>
        <w:t xml:space="preserve">B. Only on gains above the prior HWM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in year 1</w:t>
      </w:r>
    </w:p>
    <w:p>
      <w:pPr>
        <w:spacing w:after="20"/>
        <w:ind w:left="360"/>
      </w:pPr>
      <w:r>
        <w:rPr>
          <w:sz w:val="20"/>
          <w:szCs w:val="20"/>
        </w:rPr>
        <w:t xml:space="preserve">D. Never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The asset allocation decision primarily determines:</w:t>
      </w:r>
    </w:p>
    <w:p>
      <w:pPr>
        <w:spacing w:after="20"/>
        <w:ind w:left="360"/>
      </w:pPr>
      <w:r>
        <w:rPr>
          <w:sz w:val="20"/>
          <w:szCs w:val="20"/>
        </w:rPr>
        <w:t xml:space="preserve">A. The manager's personal compensation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equity/debt/other asset mix in the portfolio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client's tax bracket</w:t>
      </w:r>
    </w:p>
    <w:p>
      <w:pPr>
        <w:spacing w:after="20"/>
        <w:ind w:left="360"/>
      </w:pPr>
      <w:r>
        <w:rPr>
          <w:sz w:val="20"/>
          <w:szCs w:val="20"/>
        </w:rPr>
        <w:t xml:space="preserve">D. The custodian's fee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11. Combining low-correlation assets tends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Increase risk with no benefit</w:t>
      </w:r>
    </w:p>
    <w:p>
      <w:pPr>
        <w:spacing w:after="20"/>
        <w:ind w:left="360"/>
      </w:pPr>
      <w:r>
        <w:rPr>
          <w:sz w:val="20"/>
          <w:szCs w:val="20"/>
        </w:rPr>
        <w:t xml:space="preserve">B. Reduce portfolio risk without sacrificing expected return</w:t>
      </w:r>
    </w:p>
    <w:p>
      <w:pPr>
        <w:spacing w:after="20"/>
        <w:ind w:left="360"/>
      </w:pPr>
      <w:r>
        <w:rPr>
          <w:sz w:val="20"/>
          <w:szCs w:val="20"/>
        </w:rPr>
        <w:t xml:space="preserve">C. Guarantee a fixed return</w:t>
      </w:r>
    </w:p>
    <w:p>
      <w:pPr>
        <w:spacing w:after="20"/>
        <w:ind w:left="360"/>
      </w:pPr>
      <w:r>
        <w:rPr>
          <w:sz w:val="20"/>
          <w:szCs w:val="20"/>
        </w:rPr>
        <w:t xml:space="preserve">D. Eliminate monitoring needs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12. Rebalancing is undertaken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Increase costs without benefit</w:t>
      </w:r>
    </w:p>
    <w:p>
      <w:pPr>
        <w:spacing w:after="20"/>
        <w:ind w:left="360"/>
      </w:pPr>
      <w:r>
        <w:rPr>
          <w:sz w:val="20"/>
          <w:szCs w:val="20"/>
        </w:rPr>
        <w:t xml:space="preserve">B. Bring the mix back to target allocation after drift</w:t>
      </w:r>
    </w:p>
    <w:p>
      <w:pPr>
        <w:spacing w:after="20"/>
        <w:ind w:left="360"/>
      </w:pPr>
      <w:r>
        <w:rPr>
          <w:sz w:val="20"/>
          <w:szCs w:val="20"/>
        </w:rPr>
        <w:t xml:space="preserve">C. Eliminate future reviews</w:t>
      </w:r>
    </w:p>
    <w:p>
      <w:pPr>
        <w:spacing w:after="20"/>
        <w:ind w:left="360"/>
      </w:pPr>
      <w:r>
        <w:rPr>
          <w:sz w:val="20"/>
          <w:szCs w:val="20"/>
        </w:rPr>
        <w:t xml:space="preserve">D. Convert to cash permanently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3-B   4-B   5-C   6-C   7-B   8-B   9-B   10-B   11-B   12-B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4 — Performance Measurement, Taxation &amp; Regulation (Ch. 10–12, 25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Risk-adjusted performance uses the Sharpe Ratio (return per unit of total risk) and Treynor Ratio (return per unit of market risk/Beta). Performance attribution separates allocation effects from security-selection effects.</w:t>
      </w:r>
    </w:p>
    <w:p>
      <w:pPr>
        <w:spacing w:after="160"/>
      </w:pPr>
      <w:r>
        <w:rPr>
          <w:sz w:val="21"/>
          <w:szCs w:val="21"/>
        </w:rPr>
        <w:t xml:space="preserve">PMS capital gains are taxed asset-by-asset (equity, debt, derivatives) following ordinary rules, unlike pooled mutual funds. NRIs typically invest via the Portfolio Investment Scheme (PIS).</w:t>
      </w:r>
    </w:p>
    <w:p>
      <w:pPr>
        <w:spacing w:after="160"/>
      </w:pPr>
      <w:r>
        <w:rPr>
          <w:sz w:val="21"/>
          <w:szCs w:val="21"/>
        </w:rPr>
        <w:t xml:space="preserve">The SEBI (Portfolio Managers) Regulations, 2020 is the core regulation; the PMLA, Insider Trading Regulations, and Fraudulent/Unfair Trade Practices Regulations round out the compliance perimeter. Fiduciary duty and the Code of Conduct govern ethical practice.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Sharpe Ratio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(Return − Risk-free Return) ÷ Standard Deviation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Treynor Ratio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(Return − Risk-free Return) ÷ Beta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Core PMS regulation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SEBI (Portfolio Managers) Regulations, 2020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NRI PMS investment route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Portfolio Investment Scheme (PIS)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PMS tax treatment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Asset-by-asset, same as direct holding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The Sharpe Ratio divides excess return by:</w:t>
      </w:r>
    </w:p>
    <w:p>
      <w:pPr>
        <w:spacing w:after="20"/>
        <w:ind w:left="360"/>
      </w:pPr>
      <w:r>
        <w:rPr>
          <w:sz w:val="20"/>
          <w:szCs w:val="20"/>
        </w:rPr>
        <w:t xml:space="preserve">A. Beta</w:t>
      </w:r>
    </w:p>
    <w:p>
      <w:pPr>
        <w:spacing w:after="20"/>
        <w:ind w:left="360"/>
      </w:pPr>
      <w:r>
        <w:rPr>
          <w:sz w:val="20"/>
          <w:szCs w:val="20"/>
        </w:rPr>
        <w:t xml:space="preserve">B. Standard deviation</w:t>
      </w:r>
    </w:p>
    <w:p>
      <w:pPr>
        <w:spacing w:after="20"/>
        <w:ind w:left="360"/>
      </w:pPr>
      <w:r>
        <w:rPr>
          <w:sz w:val="20"/>
          <w:szCs w:val="20"/>
        </w:rPr>
        <w:t xml:space="preserve">C. Variance of the benchmark</w:t>
      </w:r>
    </w:p>
    <w:p>
      <w:pPr>
        <w:spacing w:after="20"/>
        <w:ind w:left="360"/>
      </w:pPr>
      <w:r>
        <w:rPr>
          <w:sz w:val="20"/>
          <w:szCs w:val="20"/>
        </w:rPr>
        <w:t xml:space="preserve">D. Portfolio turnover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The Treynor Ratio divides excess return by:</w:t>
      </w:r>
    </w:p>
    <w:p>
      <w:pPr>
        <w:spacing w:after="20"/>
        <w:ind w:left="360"/>
      </w:pPr>
      <w:r>
        <w:rPr>
          <w:sz w:val="20"/>
          <w:szCs w:val="20"/>
        </w:rPr>
        <w:t xml:space="preserve">A. Standard deviation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Beta</w:t>
      </w:r>
    </w:p>
    <w:p>
      <w:pPr>
        <w:spacing w:after="20"/>
        <w:ind w:left="360"/>
      </w:pPr>
      <w:r>
        <w:rPr>
          <w:sz w:val="20"/>
          <w:szCs w:val="20"/>
        </w:rPr>
        <w:t xml:space="preserve">C. Tracking error</w:t>
      </w:r>
    </w:p>
    <w:p>
      <w:pPr>
        <w:spacing w:after="20"/>
        <w:ind w:left="360"/>
      </w:pPr>
      <w:r>
        <w:rPr>
          <w:sz w:val="20"/>
          <w:szCs w:val="20"/>
        </w:rPr>
        <w:t xml:space="preserve">D. Duration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Performance attribution analysis determines:</w:t>
      </w:r>
    </w:p>
    <w:p>
      <w:pPr>
        <w:spacing w:after="20"/>
        <w:ind w:left="360"/>
      </w:pPr>
      <w:r>
        <w:rPr>
          <w:sz w:val="20"/>
          <w:szCs w:val="20"/>
        </w:rPr>
        <w:t xml:space="preserve">A. Allocation vs. selection contribution to return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portfolio's launch date only</w:t>
      </w:r>
    </w:p>
    <w:p>
      <w:pPr>
        <w:spacing w:after="20"/>
        <w:ind w:left="360"/>
      </w:pPr>
      <w:r>
        <w:rPr>
          <w:sz w:val="20"/>
          <w:szCs w:val="20"/>
        </w:rPr>
        <w:t xml:space="preserve">C. Total expense ratio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The manager's personal holdings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Within PMS, capital gains are taxed:</w:t>
      </w:r>
    </w:p>
    <w:p>
      <w:pPr>
        <w:spacing w:after="20"/>
        <w:ind w:left="360"/>
      </w:pPr>
      <w:r>
        <w:rPr>
          <w:sz w:val="20"/>
          <w:szCs w:val="20"/>
        </w:rPr>
        <w:t xml:space="preserve">A. Under one unified PMS rate</w:t>
      </w:r>
    </w:p>
    <w:p>
      <w:pPr>
        <w:spacing w:after="20"/>
        <w:ind w:left="360"/>
      </w:pPr>
      <w:r>
        <w:rPr>
          <w:sz w:val="20"/>
          <w:szCs w:val="20"/>
        </w:rPr>
        <w:t xml:space="preserve">B. Following ordinary asset-wise capital gains rules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when the account closes</w:t>
      </w:r>
    </w:p>
    <w:p>
      <w:pPr>
        <w:spacing w:after="20"/>
        <w:ind w:left="360"/>
      </w:pPr>
      <w:r>
        <w:rPr>
          <w:sz w:val="20"/>
          <w:szCs w:val="20"/>
        </w:rPr>
        <w:t xml:space="preserve">D. At a flat 0% always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NRIs investing in PMS typically route transactions through:</w:t>
      </w:r>
    </w:p>
    <w:p>
      <w:pPr>
        <w:spacing w:after="20"/>
        <w:ind w:left="360"/>
      </w:pPr>
      <w:r>
        <w:rPr>
          <w:sz w:val="20"/>
          <w:szCs w:val="20"/>
        </w:rPr>
        <w:t xml:space="preserve">A. A regular savings account only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Portfolio Investment Scheme (PIS)</w:t>
      </w:r>
    </w:p>
    <w:p>
      <w:pPr>
        <w:spacing w:after="20"/>
        <w:ind w:left="360"/>
      </w:pPr>
      <w:r>
        <w:rPr>
          <w:sz w:val="20"/>
          <w:szCs w:val="20"/>
        </w:rPr>
        <w:t xml:space="preserve">C. A cryptocurrency exchange</w:t>
      </w:r>
    </w:p>
    <w:p>
      <w:pPr>
        <w:spacing w:after="20"/>
        <w:ind w:left="360"/>
      </w:pPr>
      <w:r>
        <w:rPr>
          <w:sz w:val="20"/>
          <w:szCs w:val="20"/>
        </w:rPr>
        <w:t xml:space="preserve">D. No special route needed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The core regulation governing Portfolio Managers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SEBI (Portfolio Managers) Regulations, 2020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Indian Contract Act alone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Companies Act alone</w:t>
      </w:r>
    </w:p>
    <w:p>
      <w:pPr>
        <w:spacing w:after="20"/>
        <w:ind w:left="360"/>
      </w:pPr>
      <w:r>
        <w:rPr>
          <w:sz w:val="20"/>
          <w:szCs w:val="20"/>
        </w:rPr>
        <w:t xml:space="preserve">D. The Banking Regulation Act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The Prevention of Money-Laundering Act, 2002 requires:</w:t>
      </w:r>
    </w:p>
    <w:p>
      <w:pPr>
        <w:spacing w:after="20"/>
        <w:ind w:left="360"/>
      </w:pPr>
      <w:r>
        <w:rPr>
          <w:sz w:val="20"/>
          <w:szCs w:val="20"/>
        </w:rPr>
        <w:t xml:space="preserve">A. Ignoring fund sources</w:t>
      </w:r>
    </w:p>
    <w:p>
      <w:pPr>
        <w:spacing w:after="20"/>
        <w:ind w:left="360"/>
      </w:pPr>
      <w:r>
        <w:rPr>
          <w:sz w:val="20"/>
          <w:szCs w:val="20"/>
        </w:rPr>
        <w:t xml:space="preserve">B. Due diligence and reporting suspicious transactions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Accepting cash with no documentation</w:t>
      </w:r>
    </w:p>
    <w:p>
      <w:pPr>
        <w:spacing w:after="20"/>
        <w:ind w:left="360"/>
      </w:pPr>
      <w:r>
        <w:rPr>
          <w:sz w:val="20"/>
          <w:szCs w:val="20"/>
        </w:rPr>
        <w:t xml:space="preserve">D. Verifying identity once a decade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Concealing material risks for higher compensation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Sound judgment</w:t>
      </w:r>
    </w:p>
    <w:p>
      <w:pPr>
        <w:spacing w:after="20"/>
        <w:ind w:left="360"/>
      </w:pPr>
      <w:r>
        <w:rPr>
          <w:sz w:val="20"/>
          <w:szCs w:val="20"/>
        </w:rPr>
        <w:t xml:space="preserve">B. Mis-selling under the Fraudulent/Unfair Trade Practices Regulations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Standard practice</w:t>
      </w:r>
    </w:p>
    <w:p>
      <w:pPr>
        <w:spacing w:after="20"/>
        <w:ind w:left="360"/>
      </w:pPr>
      <w:r>
        <w:rPr>
          <w:sz w:val="20"/>
          <w:szCs w:val="20"/>
        </w:rPr>
        <w:t xml:space="preserve">D. Enhanced protection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A portfolio manager's fiduciary duty means:</w:t>
      </w:r>
    </w:p>
    <w:p>
      <w:pPr>
        <w:spacing w:after="20"/>
        <w:ind w:left="360"/>
      </w:pPr>
      <w:r>
        <w:rPr>
          <w:sz w:val="20"/>
          <w:szCs w:val="20"/>
        </w:rPr>
        <w:t xml:space="preserve">A. Prioritising their own commission</w:t>
      </w:r>
    </w:p>
    <w:p>
      <w:pPr>
        <w:spacing w:after="20"/>
        <w:ind w:left="360"/>
      </w:pPr>
      <w:r>
        <w:rPr>
          <w:sz w:val="20"/>
          <w:szCs w:val="20"/>
        </w:rPr>
        <w:t xml:space="preserve">B. Acting in the client's best interest above their own</w:t>
      </w:r>
    </w:p>
    <w:p>
      <w:pPr>
        <w:spacing w:after="20"/>
        <w:ind w:left="360"/>
      </w:pPr>
      <w:r>
        <w:rPr>
          <w:sz w:val="20"/>
          <w:szCs w:val="20"/>
        </w:rPr>
        <w:t xml:space="preserve">C. Following instructions with no judgment</w:t>
      </w:r>
    </w:p>
    <w:p>
      <w:pPr>
        <w:spacing w:after="20"/>
        <w:ind w:left="360"/>
      </w:pPr>
      <w:r>
        <w:rPr>
          <w:sz w:val="20"/>
          <w:szCs w:val="20"/>
        </w:rPr>
        <w:t xml:space="preserve">D. Avoiding disclosure of conflicts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SEBI's Investor Charter for PMS sets out:</w:t>
      </w:r>
    </w:p>
    <w:p>
      <w:pPr>
        <w:spacing w:after="20"/>
        <w:ind w:left="360"/>
      </w:pPr>
      <w:r>
        <w:rPr>
          <w:sz w:val="20"/>
          <w:szCs w:val="20"/>
        </w:rPr>
        <w:t xml:space="preserve">A. Nothing of substance</w:t>
      </w:r>
    </w:p>
    <w:p>
      <w:pPr>
        <w:spacing w:after="20"/>
        <w:ind w:left="360"/>
      </w:pPr>
      <w:r>
        <w:rPr>
          <w:sz w:val="20"/>
          <w:szCs w:val="20"/>
        </w:rPr>
        <w:t xml:space="preserve">B. Investor rights and grievance redress expectations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marketing rights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the fee structure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3-A   4-B   5-B   6-A   7-B   8-B   9-B   10-B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2026-10-03T02:14:25.551Z</dcterms:created>
  <dcterms:modified xsi:type="dcterms:W3CDTF">2026-10-03T02:14:25.566Z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